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4E5AF" w14:textId="2205A7EA" w:rsidR="00A169B5" w:rsidRPr="00C939D0" w:rsidRDefault="00000000">
      <w:pPr>
        <w:pStyle w:val="MDPI12title"/>
        <w:rPr>
          <w:rFonts w:ascii="宋体" w:eastAsia="宋体" w:hAnsi="宋体" w:cs="宋体"/>
          <w:b w:val="0"/>
          <w:lang w:eastAsia="zh-CN"/>
        </w:rPr>
      </w:pPr>
      <w:r w:rsidRPr="00637807">
        <w:rPr>
          <w:b w:val="0"/>
        </w:rPr>
        <w:t xml:space="preserve">Supplementary Information: </w:t>
      </w:r>
      <w:r w:rsidR="00C939D0" w:rsidRPr="00C939D0">
        <w:rPr>
          <w:b w:val="0"/>
        </w:rPr>
        <w:t xml:space="preserve">The </w:t>
      </w:r>
      <w:r w:rsidR="00C939D0" w:rsidRPr="00C939D0">
        <w:rPr>
          <w:b w:val="0"/>
          <w:i/>
          <w:iCs/>
        </w:rPr>
        <w:t xml:space="preserve">Sclerotinia </w:t>
      </w:r>
      <w:proofErr w:type="spellStart"/>
      <w:r w:rsidR="00C939D0" w:rsidRPr="00C939D0">
        <w:rPr>
          <w:b w:val="0"/>
          <w:i/>
          <w:iCs/>
        </w:rPr>
        <w:t>sclerotiorum</w:t>
      </w:r>
      <w:proofErr w:type="spellEnd"/>
      <w:r w:rsidR="00C939D0" w:rsidRPr="00C939D0">
        <w:rPr>
          <w:b w:val="0"/>
        </w:rPr>
        <w:t xml:space="preserve"> ADP-ribosylation factor 6 plays an essential role in abiotic stress response and fungal virulence to host plants</w:t>
      </w:r>
    </w:p>
    <w:p w14:paraId="3F990EFC" w14:textId="098B7A71" w:rsidR="00C939D0" w:rsidRPr="00B8456F" w:rsidRDefault="00C939D0" w:rsidP="00C939D0">
      <w:pPr>
        <w:pStyle w:val="MDPI13authornames"/>
      </w:pPr>
      <w:proofErr w:type="spellStart"/>
      <w:r w:rsidRPr="00B8456F">
        <w:t>Kunmei</w:t>
      </w:r>
      <w:proofErr w:type="spellEnd"/>
      <w:r w:rsidRPr="00B8456F">
        <w:t xml:space="preserve"> Wang</w:t>
      </w:r>
      <w:r>
        <w:t xml:space="preserve"> </w:t>
      </w:r>
      <w:r w:rsidRPr="00A2199E">
        <w:rPr>
          <w:vertAlign w:val="superscript"/>
        </w:rPr>
        <w:t>1</w:t>
      </w:r>
      <w:r w:rsidRPr="00B8456F">
        <w:t>, Siyi Wang</w:t>
      </w:r>
      <w:r>
        <w:t xml:space="preserve"> </w:t>
      </w:r>
      <w:r w:rsidRPr="00A2199E">
        <w:rPr>
          <w:vertAlign w:val="superscript"/>
        </w:rPr>
        <w:t>1</w:t>
      </w:r>
      <w:r w:rsidRPr="00B8456F">
        <w:t xml:space="preserve">, </w:t>
      </w:r>
      <w:r w:rsidRPr="00F04DB6">
        <w:rPr>
          <w:lang w:eastAsia="zh-CN"/>
        </w:rPr>
        <w:t>Ting</w:t>
      </w:r>
      <w:r w:rsidRPr="00B8456F">
        <w:rPr>
          <w:lang w:eastAsia="zh-CN"/>
        </w:rPr>
        <w:t xml:space="preserve"> Wang</w:t>
      </w:r>
      <w:r>
        <w:rPr>
          <w:lang w:eastAsia="zh-CN"/>
        </w:rPr>
        <w:t xml:space="preserve"> </w:t>
      </w:r>
      <w:r w:rsidRPr="00A2199E">
        <w:rPr>
          <w:vertAlign w:val="superscript"/>
          <w:lang w:eastAsia="zh-CN"/>
        </w:rPr>
        <w:t>1</w:t>
      </w:r>
      <w:r w:rsidRPr="00B8456F">
        <w:t>, Qi Xia</w:t>
      </w:r>
      <w:r>
        <w:t xml:space="preserve"> </w:t>
      </w:r>
      <w:r w:rsidRPr="00A2199E">
        <w:rPr>
          <w:vertAlign w:val="superscript"/>
        </w:rPr>
        <w:t>1</w:t>
      </w:r>
      <w:r w:rsidRPr="00B8456F">
        <w:t xml:space="preserve">, </w:t>
      </w:r>
      <w:proofErr w:type="spellStart"/>
      <w:r w:rsidRPr="00B8456F">
        <w:t>Shitou</w:t>
      </w:r>
      <w:proofErr w:type="spellEnd"/>
      <w:r w:rsidRPr="00B8456F">
        <w:t xml:space="preserve"> Xia</w:t>
      </w:r>
      <w:r>
        <w:t xml:space="preserve"> </w:t>
      </w:r>
      <w:r w:rsidRPr="005D55F6">
        <w:rPr>
          <w:vertAlign w:val="superscript"/>
        </w:rPr>
        <w:t>1, *</w:t>
      </w:r>
    </w:p>
    <w:tbl>
      <w:tblPr>
        <w:tblpPr w:leftFromText="198" w:rightFromText="198" w:vertAnchor="page" w:horzAnchor="margin" w:tblpY="11276"/>
        <w:tblW w:w="2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</w:tblGrid>
      <w:tr w:rsidR="00C939D0" w:rsidRPr="00F04DB6" w14:paraId="6A007948" w14:textId="77777777" w:rsidTr="00636BE4">
        <w:tc>
          <w:tcPr>
            <w:tcW w:w="2410" w:type="dxa"/>
            <w:shd w:val="clear" w:color="auto" w:fill="auto"/>
          </w:tcPr>
          <w:p w14:paraId="6DE09EDA" w14:textId="77777777" w:rsidR="00C939D0" w:rsidRPr="00B8456F" w:rsidRDefault="00C939D0" w:rsidP="00636BE4">
            <w:pPr>
              <w:pStyle w:val="MDPI61Citation"/>
              <w:spacing w:after="120" w:line="240" w:lineRule="exact"/>
            </w:pPr>
            <w:r w:rsidRPr="00B8456F">
              <w:rPr>
                <w:b/>
              </w:rPr>
              <w:t xml:space="preserve">Citation: </w:t>
            </w:r>
            <w:r w:rsidRPr="00B8456F">
              <w:t>To be added by editorial staff during production.</w:t>
            </w:r>
          </w:p>
          <w:p w14:paraId="5D3B1212" w14:textId="77777777" w:rsidR="00C939D0" w:rsidRPr="00B8456F" w:rsidRDefault="00C939D0" w:rsidP="00636BE4">
            <w:pPr>
              <w:pStyle w:val="MDPI15academiceditor"/>
              <w:spacing w:after="120"/>
            </w:pPr>
            <w:r w:rsidRPr="00B8456F">
              <w:t xml:space="preserve">Academic Editor: </w:t>
            </w:r>
            <w:proofErr w:type="spellStart"/>
            <w:r w:rsidRPr="00B8456F">
              <w:t>Firstname</w:t>
            </w:r>
            <w:proofErr w:type="spellEnd"/>
            <w:r w:rsidRPr="00B8456F">
              <w:t xml:space="preserve"> </w:t>
            </w:r>
            <w:proofErr w:type="spellStart"/>
            <w:r w:rsidRPr="00B8456F">
              <w:t>Lastname</w:t>
            </w:r>
            <w:proofErr w:type="spellEnd"/>
          </w:p>
          <w:p w14:paraId="3E312690" w14:textId="77777777" w:rsidR="00C939D0" w:rsidRPr="00F04DB6" w:rsidRDefault="00C939D0" w:rsidP="00636BE4">
            <w:pPr>
              <w:pStyle w:val="MDPI14history"/>
              <w:spacing w:before="120"/>
            </w:pPr>
            <w:r w:rsidRPr="00F04DB6">
              <w:t>Received: date</w:t>
            </w:r>
          </w:p>
          <w:p w14:paraId="7EA13CF9" w14:textId="77777777" w:rsidR="00C939D0" w:rsidRPr="00F04DB6" w:rsidRDefault="00C939D0" w:rsidP="00636BE4">
            <w:pPr>
              <w:pStyle w:val="MDPI14history"/>
            </w:pPr>
            <w:r w:rsidRPr="00F04DB6">
              <w:t>Revised: date</w:t>
            </w:r>
          </w:p>
          <w:p w14:paraId="0AAD146C" w14:textId="77777777" w:rsidR="00C939D0" w:rsidRPr="00F04DB6" w:rsidRDefault="00C939D0" w:rsidP="00636BE4">
            <w:pPr>
              <w:pStyle w:val="MDPI14history"/>
            </w:pPr>
            <w:r w:rsidRPr="00F04DB6">
              <w:t>Accepted: date</w:t>
            </w:r>
          </w:p>
          <w:p w14:paraId="2CF51F5E" w14:textId="77777777" w:rsidR="00C939D0" w:rsidRPr="00F04DB6" w:rsidRDefault="00C939D0" w:rsidP="00636BE4">
            <w:pPr>
              <w:pStyle w:val="MDPI14history"/>
              <w:spacing w:after="120"/>
            </w:pPr>
            <w:r w:rsidRPr="00F04DB6">
              <w:t>Published: date</w:t>
            </w:r>
          </w:p>
          <w:p w14:paraId="52C13276" w14:textId="77777777" w:rsidR="00C939D0" w:rsidRPr="00F04DB6" w:rsidRDefault="00C939D0" w:rsidP="00636BE4">
            <w:pPr>
              <w:adjustRightInd w:val="0"/>
              <w:snapToGrid w:val="0"/>
              <w:spacing w:before="120" w:line="240" w:lineRule="atLeast"/>
              <w:ind w:right="113"/>
              <w:rPr>
                <w:rFonts w:eastAsia="DengXian"/>
                <w:bCs/>
                <w:sz w:val="14"/>
                <w:szCs w:val="14"/>
                <w:lang w:bidi="en-US"/>
              </w:rPr>
            </w:pPr>
            <w:r w:rsidRPr="00F04DB6">
              <w:rPr>
                <w:rFonts w:eastAsia="DengXian"/>
                <w:noProof/>
              </w:rPr>
              <w:drawing>
                <wp:inline distT="0" distB="0" distL="0" distR="0" wp14:anchorId="45D420E2" wp14:editId="75FE51DE">
                  <wp:extent cx="692785" cy="249555"/>
                  <wp:effectExtent l="0" t="0" r="0" b="0"/>
                  <wp:docPr id="326249467" name="图片 326249467" descr="卡通画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249467" name="图片 326249467" descr="卡通画&#10;&#10;中度可信度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9C67C" w14:textId="77777777" w:rsidR="00C939D0" w:rsidRPr="00B8456F" w:rsidRDefault="00C939D0" w:rsidP="00636BE4">
            <w:pPr>
              <w:pStyle w:val="MDPI72Copyright"/>
              <w:rPr>
                <w:rFonts w:eastAsia="DengXian"/>
                <w:lang w:bidi="en-US"/>
              </w:rPr>
            </w:pPr>
            <w:r w:rsidRPr="00B8456F">
              <w:rPr>
                <w:rFonts w:eastAsia="DengXian"/>
                <w:b/>
                <w:lang w:bidi="en-US"/>
              </w:rPr>
              <w:t>Copyright:</w:t>
            </w:r>
            <w:r w:rsidRPr="00B8456F">
              <w:rPr>
                <w:rFonts w:eastAsia="DengXian"/>
                <w:lang w:bidi="en-US"/>
              </w:rPr>
              <w:t xml:space="preserve"> © 2023 by the authors. Submitted for possible open access publication under the terms and conditions of the Creative Commons Attribution (CC BY) license (https://creativecommons.org/licenses/by/4.0/).</w:t>
            </w:r>
          </w:p>
        </w:tc>
      </w:tr>
    </w:tbl>
    <w:p w14:paraId="2F39B120" w14:textId="018F8CBF" w:rsidR="00C939D0" w:rsidRPr="00B8456F" w:rsidRDefault="00C939D0" w:rsidP="00C939D0">
      <w:pPr>
        <w:pStyle w:val="MDPI16affiliation"/>
      </w:pPr>
      <w:r w:rsidRPr="00B8456F">
        <w:rPr>
          <w:vertAlign w:val="superscript"/>
        </w:rPr>
        <w:t>1</w:t>
      </w:r>
      <w:r w:rsidRPr="00B8456F">
        <w:tab/>
      </w:r>
      <w:r w:rsidRPr="0026415F">
        <w:t>College of Bioscience and Biotechnology, Hunan Agricultural University, Changsha 410128, China</w:t>
      </w:r>
      <w:r>
        <w:t>;</w:t>
      </w:r>
      <w:r w:rsidR="004D6F77">
        <w:t xml:space="preserve"> </w:t>
      </w:r>
      <w:proofErr w:type="spellStart"/>
      <w:r w:rsidRPr="00B8456F">
        <w:t>Kunmei</w:t>
      </w:r>
      <w:proofErr w:type="spellEnd"/>
      <w:r w:rsidRPr="00B8456F">
        <w:t xml:space="preserve"> Wang</w:t>
      </w:r>
      <w:r w:rsidRPr="00F04DB6">
        <w:rPr>
          <w:lang w:eastAsia="zh-CN"/>
        </w:rPr>
        <w:t>;</w:t>
      </w:r>
      <w:r w:rsidRPr="00B8456F">
        <w:t xml:space="preserve"> yuhunan@stu.hunau.edu.cn</w:t>
      </w:r>
      <w:r>
        <w:t xml:space="preserve">; </w:t>
      </w:r>
      <w:r w:rsidRPr="00B8456F">
        <w:t>Siyi Wang; wangsiyi@stu.hunau.edu.cn</w:t>
      </w:r>
      <w:r w:rsidRPr="00A2199E">
        <w:t>;</w:t>
      </w:r>
      <w:r>
        <w:t xml:space="preserve"> </w:t>
      </w:r>
      <w:r w:rsidRPr="00F04DB6">
        <w:rPr>
          <w:lang w:eastAsia="zh-CN"/>
        </w:rPr>
        <w:t>Ting</w:t>
      </w:r>
      <w:r w:rsidRPr="00B8456F">
        <w:rPr>
          <w:lang w:eastAsia="zh-CN"/>
        </w:rPr>
        <w:t xml:space="preserve"> Wang</w:t>
      </w:r>
      <w:r w:rsidRPr="00B8456F">
        <w:t>; tina@stu.hunau.edu.cn</w:t>
      </w:r>
      <w:r w:rsidRPr="00A2199E">
        <w:t>;</w:t>
      </w:r>
      <w:r>
        <w:t xml:space="preserve"> </w:t>
      </w:r>
      <w:r w:rsidRPr="00B8456F">
        <w:t>Qi Xia; xiaqi@stu.hunau.edu.cn</w:t>
      </w:r>
    </w:p>
    <w:p w14:paraId="534CD6AA" w14:textId="73DE1416" w:rsidR="00C939D0" w:rsidRPr="00DA4EE4" w:rsidRDefault="00C939D0" w:rsidP="00C939D0">
      <w:pPr>
        <w:pStyle w:val="MDPI16affiliation"/>
      </w:pPr>
      <w:r w:rsidRPr="000B4E4F">
        <w:rPr>
          <w:b/>
          <w:bCs/>
        </w:rPr>
        <w:t>*</w:t>
      </w:r>
      <w:r w:rsidRPr="00B8456F">
        <w:tab/>
        <w:t xml:space="preserve">Correspondence: </w:t>
      </w:r>
      <w:proofErr w:type="spellStart"/>
      <w:r w:rsidRPr="00912DEB">
        <w:t>Shitou</w:t>
      </w:r>
      <w:proofErr w:type="spellEnd"/>
      <w:r w:rsidRPr="00912DEB">
        <w:t xml:space="preserve"> Xia;</w:t>
      </w:r>
      <w:r>
        <w:t xml:space="preserve"> </w:t>
      </w:r>
      <w:r w:rsidRPr="00B8456F">
        <w:t>xstone0505@hunau.edu.cn</w:t>
      </w:r>
    </w:p>
    <w:p w14:paraId="46AB390E" w14:textId="4A650B07" w:rsidR="00C939D0" w:rsidRDefault="00C939D0">
      <w:pPr>
        <w:spacing w:line="240" w:lineRule="auto"/>
        <w:jc w:val="left"/>
        <w:rPr>
          <w:rFonts w:eastAsia="Times New Roman"/>
          <w:snapToGrid w:val="0"/>
          <w:szCs w:val="22"/>
          <w:lang w:eastAsia="de-DE" w:bidi="en-US"/>
        </w:rPr>
      </w:pPr>
      <w:r>
        <w:br w:type="page"/>
      </w:r>
    </w:p>
    <w:p w14:paraId="003C5411" w14:textId="390200FE" w:rsidR="009B3EE0" w:rsidRPr="00CB70A3" w:rsidRDefault="00CB70A3" w:rsidP="005C454C">
      <w:pPr>
        <w:spacing w:before="120" w:after="240" w:line="228" w:lineRule="auto"/>
        <w:jc w:val="center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w:lastRenderedPageBreak/>
        <w:drawing>
          <wp:inline distT="0" distB="0" distL="0" distR="0" wp14:anchorId="1CECEDC9" wp14:editId="7136D019">
            <wp:extent cx="6645910" cy="2188845"/>
            <wp:effectExtent l="0" t="0" r="0" b="0"/>
            <wp:docPr id="1700118760" name="图片 1" descr="日程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118760" name="图片 1" descr="日程表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3E45C" w14:textId="04688A16" w:rsidR="00462BCE" w:rsidRDefault="005C454C" w:rsidP="008841C5">
      <w:pPr>
        <w:snapToGrid w:val="0"/>
        <w:spacing w:before="120" w:after="240" w:line="240" w:lineRule="auto"/>
        <w:rPr>
          <w:sz w:val="18"/>
          <w:szCs w:val="18"/>
        </w:rPr>
      </w:pPr>
      <w:r w:rsidRPr="002E7ED2">
        <w:rPr>
          <w:b/>
          <w:bCs/>
          <w:sz w:val="18"/>
          <w:szCs w:val="18"/>
        </w:rPr>
        <w:t>Figure S1</w:t>
      </w:r>
      <w:r w:rsidRPr="002E7ED2">
        <w:rPr>
          <w:rFonts w:cs="宋体"/>
          <w:b/>
          <w:bCs/>
          <w:sz w:val="18"/>
          <w:szCs w:val="18"/>
        </w:rPr>
        <w:t>.</w:t>
      </w:r>
      <w:r w:rsidRPr="002E7ED2">
        <w:rPr>
          <w:sz w:val="18"/>
          <w:szCs w:val="18"/>
        </w:rPr>
        <w:t xml:space="preserve"> Knockout</w:t>
      </w:r>
      <w:r w:rsidRPr="002E7ED2">
        <w:rPr>
          <w:rFonts w:hint="eastAsia"/>
          <w:sz w:val="18"/>
          <w:szCs w:val="18"/>
        </w:rPr>
        <w:t xml:space="preserve"> of </w:t>
      </w:r>
      <w:r w:rsidRPr="002E7ED2">
        <w:rPr>
          <w:rFonts w:hint="eastAsia"/>
          <w:i/>
          <w:iCs/>
          <w:sz w:val="18"/>
          <w:szCs w:val="18"/>
        </w:rPr>
        <w:t xml:space="preserve">SsArf6 </w:t>
      </w:r>
      <w:r w:rsidRPr="002E7ED2">
        <w:rPr>
          <w:rFonts w:hint="eastAsia"/>
          <w:sz w:val="18"/>
          <w:szCs w:val="18"/>
        </w:rPr>
        <w:t xml:space="preserve">in </w:t>
      </w:r>
      <w:r w:rsidRPr="002E7ED2">
        <w:rPr>
          <w:rFonts w:hint="eastAsia"/>
          <w:i/>
          <w:iCs/>
          <w:sz w:val="18"/>
          <w:szCs w:val="18"/>
        </w:rPr>
        <w:t xml:space="preserve">S. </w:t>
      </w:r>
      <w:proofErr w:type="spellStart"/>
      <w:r w:rsidRPr="002E7ED2">
        <w:rPr>
          <w:rFonts w:hint="eastAsia"/>
          <w:i/>
          <w:iCs/>
          <w:sz w:val="18"/>
          <w:szCs w:val="18"/>
        </w:rPr>
        <w:t>sclerotiorum</w:t>
      </w:r>
      <w:proofErr w:type="spellEnd"/>
      <w:r w:rsidRPr="002E7ED2">
        <w:rPr>
          <w:rFonts w:hint="eastAsia"/>
          <w:i/>
          <w:iCs/>
          <w:sz w:val="18"/>
          <w:szCs w:val="18"/>
        </w:rPr>
        <w:t>.</w:t>
      </w:r>
      <w:r w:rsidRPr="002E7ED2">
        <w:rPr>
          <w:sz w:val="18"/>
          <w:szCs w:val="18"/>
        </w:rPr>
        <w:t xml:space="preserve"> </w:t>
      </w:r>
      <w:r w:rsidRPr="002E7ED2">
        <w:rPr>
          <w:b/>
          <w:bCs/>
          <w:sz w:val="18"/>
          <w:szCs w:val="18"/>
        </w:rPr>
        <w:t xml:space="preserve">(A) </w:t>
      </w:r>
      <w:r w:rsidRPr="002E7ED2">
        <w:rPr>
          <w:sz w:val="18"/>
          <w:szCs w:val="18"/>
        </w:rPr>
        <w:t xml:space="preserve">The schematic diagram of the strategy used for knockout of </w:t>
      </w:r>
      <w:r w:rsidRPr="002E7ED2">
        <w:rPr>
          <w:i/>
          <w:iCs/>
          <w:sz w:val="18"/>
          <w:szCs w:val="18"/>
        </w:rPr>
        <w:t>SsArf6</w:t>
      </w:r>
      <w:r w:rsidRPr="002E7ED2">
        <w:rPr>
          <w:sz w:val="18"/>
          <w:szCs w:val="18"/>
        </w:rPr>
        <w:t xml:space="preserve">. </w:t>
      </w:r>
      <w:r w:rsidR="009B3EE0" w:rsidRPr="009B3EE0">
        <w:rPr>
          <w:sz w:val="18"/>
          <w:szCs w:val="18"/>
        </w:rPr>
        <w:t xml:space="preserve">The </w:t>
      </w:r>
      <w:r w:rsidR="009B3EE0" w:rsidRPr="009B3EE0">
        <w:rPr>
          <w:i/>
          <w:iCs/>
          <w:sz w:val="18"/>
          <w:szCs w:val="18"/>
        </w:rPr>
        <w:t>SsArf6</w:t>
      </w:r>
      <w:r w:rsidR="009B3EE0" w:rsidRPr="009B3EE0">
        <w:rPr>
          <w:sz w:val="18"/>
          <w:szCs w:val="18"/>
        </w:rPr>
        <w:t xml:space="preserve"> gene, Hygromycin phosphotransferase gene (</w:t>
      </w:r>
      <w:proofErr w:type="spellStart"/>
      <w:r w:rsidR="009B3EE0" w:rsidRPr="009B3EE0">
        <w:rPr>
          <w:sz w:val="18"/>
          <w:szCs w:val="18"/>
        </w:rPr>
        <w:t>hph</w:t>
      </w:r>
      <w:proofErr w:type="spellEnd"/>
      <w:r w:rsidR="009B3EE0" w:rsidRPr="009B3EE0">
        <w:rPr>
          <w:sz w:val="18"/>
          <w:szCs w:val="18"/>
        </w:rPr>
        <w:t xml:space="preserve">), and G418 resistance gene </w:t>
      </w:r>
      <w:r w:rsidR="009B3EE0" w:rsidRPr="00723630">
        <w:rPr>
          <w:i/>
          <w:iCs/>
          <w:sz w:val="18"/>
          <w:szCs w:val="18"/>
        </w:rPr>
        <w:t>NEO</w:t>
      </w:r>
      <w:r w:rsidR="009B3EE0" w:rsidRPr="009B3EE0">
        <w:rPr>
          <w:sz w:val="18"/>
          <w:szCs w:val="18"/>
        </w:rPr>
        <w:t xml:space="preserve"> </w:t>
      </w:r>
      <w:r w:rsidR="00CD3ABB">
        <w:rPr>
          <w:sz w:val="18"/>
          <w:szCs w:val="18"/>
        </w:rPr>
        <w:t>we</w:t>
      </w:r>
      <w:r w:rsidR="009B3EE0" w:rsidRPr="009B3EE0">
        <w:rPr>
          <w:sz w:val="18"/>
          <w:szCs w:val="18"/>
        </w:rPr>
        <w:t>re denoted by yellow, red, and green rectangles, respectively</w:t>
      </w:r>
      <w:r w:rsidRPr="002E7ED2">
        <w:rPr>
          <w:sz w:val="18"/>
          <w:szCs w:val="18"/>
        </w:rPr>
        <w:t>. The labeled primers in the diagram were used for amplifying flanking sequences</w:t>
      </w:r>
      <w:r w:rsidR="009B3EE0">
        <w:rPr>
          <w:sz w:val="18"/>
          <w:szCs w:val="18"/>
        </w:rPr>
        <w:t xml:space="preserve"> </w:t>
      </w:r>
      <w:r w:rsidRPr="002E7ED2">
        <w:rPr>
          <w:sz w:val="18"/>
          <w:szCs w:val="18"/>
        </w:rPr>
        <w:t xml:space="preserve">of </w:t>
      </w:r>
      <w:r w:rsidR="009B3EE0" w:rsidRPr="002E7ED2">
        <w:rPr>
          <w:i/>
          <w:iCs/>
          <w:sz w:val="18"/>
          <w:szCs w:val="18"/>
        </w:rPr>
        <w:t>SsArf6</w:t>
      </w:r>
      <w:r w:rsidR="009B3EE0" w:rsidRPr="002E7ED2">
        <w:rPr>
          <w:sz w:val="18"/>
          <w:szCs w:val="18"/>
        </w:rPr>
        <w:t xml:space="preserve"> or</w:t>
      </w:r>
      <w:r w:rsidRPr="002E7ED2">
        <w:rPr>
          <w:sz w:val="18"/>
          <w:szCs w:val="18"/>
        </w:rPr>
        <w:t xml:space="preserve"> facilitating mutant screening. </w:t>
      </w:r>
      <w:r w:rsidRPr="002E7ED2">
        <w:rPr>
          <w:b/>
          <w:bCs/>
          <w:sz w:val="18"/>
          <w:szCs w:val="18"/>
        </w:rPr>
        <w:t xml:space="preserve">(B) </w:t>
      </w:r>
      <w:r w:rsidRPr="002E7ED2">
        <w:rPr>
          <w:sz w:val="18"/>
          <w:szCs w:val="18"/>
        </w:rPr>
        <w:t xml:space="preserve">The verification of knockout of </w:t>
      </w:r>
      <w:r w:rsidRPr="002E7ED2">
        <w:rPr>
          <w:i/>
          <w:iCs/>
          <w:sz w:val="18"/>
          <w:szCs w:val="18"/>
        </w:rPr>
        <w:t xml:space="preserve">SsArf6 </w:t>
      </w:r>
      <w:r w:rsidRPr="002E7ED2">
        <w:rPr>
          <w:sz w:val="18"/>
          <w:szCs w:val="18"/>
        </w:rPr>
        <w:t xml:space="preserve">by PCR. Genomic DNA obtained from WT, </w:t>
      </w:r>
      <w:r w:rsidR="008841C5" w:rsidRPr="002E7ED2">
        <w:rPr>
          <w:sz w:val="18"/>
          <w:szCs w:val="18"/>
        </w:rPr>
        <w:t>knockout</w:t>
      </w:r>
      <w:r w:rsidRPr="002E7ED2">
        <w:rPr>
          <w:sz w:val="18"/>
          <w:szCs w:val="18"/>
        </w:rPr>
        <w:t xml:space="preserve"> mutant</w:t>
      </w:r>
      <w:r w:rsidRPr="002E7ED2">
        <w:rPr>
          <w:i/>
          <w:iCs/>
          <w:sz w:val="18"/>
          <w:szCs w:val="18"/>
        </w:rPr>
        <w:t xml:space="preserve"> ΔSs</w:t>
      </w:r>
      <w:r w:rsidR="002E02C8" w:rsidRPr="002E7ED2">
        <w:rPr>
          <w:i/>
          <w:iCs/>
          <w:sz w:val="18"/>
          <w:szCs w:val="18"/>
        </w:rPr>
        <w:t>arf</w:t>
      </w:r>
      <w:r w:rsidRPr="002E7ED2">
        <w:rPr>
          <w:i/>
          <w:iCs/>
          <w:sz w:val="18"/>
          <w:szCs w:val="18"/>
        </w:rPr>
        <w:t>6</w:t>
      </w:r>
      <w:r w:rsidR="009B3EE0">
        <w:rPr>
          <w:sz w:val="18"/>
          <w:szCs w:val="18"/>
        </w:rPr>
        <w:t xml:space="preserve"> were </w:t>
      </w:r>
      <w:r w:rsidRPr="002E7ED2">
        <w:rPr>
          <w:sz w:val="18"/>
          <w:szCs w:val="18"/>
        </w:rPr>
        <w:t>utilized as templates for PCR. A total of six primer pairs were employed to detect the insertion of</w:t>
      </w:r>
      <w:r w:rsidRPr="002E7ED2">
        <w:rPr>
          <w:i/>
          <w:iCs/>
          <w:sz w:val="18"/>
          <w:szCs w:val="18"/>
        </w:rPr>
        <w:t xml:space="preserve"> </w:t>
      </w:r>
      <w:proofErr w:type="spellStart"/>
      <w:r w:rsidRPr="002E7ED2">
        <w:rPr>
          <w:i/>
          <w:iCs/>
          <w:sz w:val="18"/>
          <w:szCs w:val="18"/>
        </w:rPr>
        <w:t>hph</w:t>
      </w:r>
      <w:proofErr w:type="spellEnd"/>
      <w:r w:rsidRPr="002E7ED2">
        <w:rPr>
          <w:i/>
          <w:iCs/>
          <w:sz w:val="18"/>
          <w:szCs w:val="18"/>
        </w:rPr>
        <w:t xml:space="preserve"> </w:t>
      </w:r>
      <w:r w:rsidRPr="002E7ED2">
        <w:rPr>
          <w:sz w:val="18"/>
          <w:szCs w:val="18"/>
        </w:rPr>
        <w:t xml:space="preserve">and its upstream and down-stream fragments, as well as to confirm the knockout of </w:t>
      </w:r>
      <w:r w:rsidRPr="002E7ED2">
        <w:rPr>
          <w:i/>
          <w:iCs/>
          <w:sz w:val="18"/>
          <w:szCs w:val="18"/>
        </w:rPr>
        <w:t>SsArf6</w:t>
      </w:r>
      <w:r w:rsidRPr="002E7ED2">
        <w:rPr>
          <w:sz w:val="18"/>
          <w:szCs w:val="18"/>
        </w:rPr>
        <w:t xml:space="preserve">. The sizes of the amplified bands </w:t>
      </w:r>
      <w:r w:rsidR="00B1153D">
        <w:rPr>
          <w:sz w:val="18"/>
          <w:szCs w:val="18"/>
        </w:rPr>
        <w:t>we</w:t>
      </w:r>
      <w:r w:rsidRPr="002E7ED2">
        <w:rPr>
          <w:sz w:val="18"/>
          <w:szCs w:val="18"/>
        </w:rPr>
        <w:t>re indicated within brackets. The lanes labeled as M represent the DNA marker.</w:t>
      </w:r>
    </w:p>
    <w:p w14:paraId="2C91D3C1" w14:textId="4885190A" w:rsidR="009B3EE0" w:rsidRDefault="00CB70A3" w:rsidP="005C454C">
      <w:pPr>
        <w:spacing w:before="120" w:after="240" w:line="228" w:lineRule="auto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351E72D2" wp14:editId="378F9CEF">
            <wp:extent cx="6645910" cy="2095500"/>
            <wp:effectExtent l="0" t="0" r="0" b="0"/>
            <wp:docPr id="577130013" name="图片 2" descr="日程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130013" name="图片 2" descr="日程表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2AE7C" w14:textId="048CBE51" w:rsidR="005C454C" w:rsidRDefault="009B3EE0" w:rsidP="00115103">
      <w:pPr>
        <w:spacing w:before="120" w:after="240" w:line="228" w:lineRule="auto"/>
        <w:rPr>
          <w:sz w:val="18"/>
          <w:szCs w:val="18"/>
        </w:rPr>
      </w:pPr>
      <w:r w:rsidRPr="002E7ED2">
        <w:rPr>
          <w:b/>
          <w:bCs/>
          <w:sz w:val="18"/>
          <w:szCs w:val="18"/>
        </w:rPr>
        <w:t>Figure S</w:t>
      </w:r>
      <w:r>
        <w:rPr>
          <w:b/>
          <w:bCs/>
          <w:sz w:val="18"/>
          <w:szCs w:val="18"/>
        </w:rPr>
        <w:t>2</w:t>
      </w:r>
      <w:r w:rsidRPr="002E7ED2">
        <w:rPr>
          <w:rFonts w:cs="宋体"/>
          <w:b/>
          <w:bCs/>
          <w:sz w:val="18"/>
          <w:szCs w:val="18"/>
        </w:rPr>
        <w:t>.</w:t>
      </w:r>
      <w:r w:rsidRPr="002E7ED2">
        <w:rPr>
          <w:sz w:val="18"/>
          <w:szCs w:val="18"/>
        </w:rPr>
        <w:t xml:space="preserve"> </w:t>
      </w:r>
      <w:r w:rsidR="002E02C8">
        <w:rPr>
          <w:sz w:val="18"/>
          <w:szCs w:val="18"/>
        </w:rPr>
        <w:t>C</w:t>
      </w:r>
      <w:r w:rsidRPr="002E7ED2">
        <w:rPr>
          <w:rFonts w:hint="eastAsia"/>
          <w:sz w:val="18"/>
          <w:szCs w:val="18"/>
        </w:rPr>
        <w:t xml:space="preserve">omplementation of </w:t>
      </w:r>
      <w:r w:rsidRPr="002E7ED2">
        <w:rPr>
          <w:rFonts w:hint="eastAsia"/>
          <w:i/>
          <w:iCs/>
          <w:sz w:val="18"/>
          <w:szCs w:val="18"/>
        </w:rPr>
        <w:t xml:space="preserve">SsArf6 </w:t>
      </w:r>
      <w:r w:rsidRPr="002E7ED2">
        <w:rPr>
          <w:rFonts w:hint="eastAsia"/>
          <w:sz w:val="18"/>
          <w:szCs w:val="18"/>
        </w:rPr>
        <w:t>in</w:t>
      </w:r>
      <w:r w:rsidR="002E02C8">
        <w:rPr>
          <w:sz w:val="18"/>
          <w:szCs w:val="18"/>
        </w:rPr>
        <w:t xml:space="preserve"> </w:t>
      </w:r>
      <w:r w:rsidR="002E02C8" w:rsidRPr="002E7ED2">
        <w:rPr>
          <w:i/>
          <w:iCs/>
          <w:sz w:val="18"/>
          <w:szCs w:val="18"/>
        </w:rPr>
        <w:t>ΔSsarf6</w:t>
      </w:r>
      <w:r w:rsidR="002E02C8">
        <w:rPr>
          <w:sz w:val="18"/>
          <w:szCs w:val="18"/>
        </w:rPr>
        <w:t xml:space="preserve"> mutants of</w:t>
      </w:r>
      <w:r w:rsidRPr="002E7ED2">
        <w:rPr>
          <w:rFonts w:hint="eastAsia"/>
          <w:sz w:val="18"/>
          <w:szCs w:val="18"/>
        </w:rPr>
        <w:t xml:space="preserve"> </w:t>
      </w:r>
      <w:r w:rsidRPr="002E7ED2">
        <w:rPr>
          <w:rFonts w:hint="eastAsia"/>
          <w:i/>
          <w:iCs/>
          <w:sz w:val="18"/>
          <w:szCs w:val="18"/>
        </w:rPr>
        <w:t xml:space="preserve">S. </w:t>
      </w:r>
      <w:proofErr w:type="spellStart"/>
      <w:r w:rsidRPr="002E7ED2">
        <w:rPr>
          <w:rFonts w:hint="eastAsia"/>
          <w:i/>
          <w:iCs/>
          <w:sz w:val="18"/>
          <w:szCs w:val="18"/>
        </w:rPr>
        <w:t>sclerotiorum</w:t>
      </w:r>
      <w:proofErr w:type="spellEnd"/>
      <w:r w:rsidRPr="002E7ED2">
        <w:rPr>
          <w:rFonts w:hint="eastAsia"/>
          <w:i/>
          <w:iCs/>
          <w:sz w:val="18"/>
          <w:szCs w:val="18"/>
        </w:rPr>
        <w:t>.</w:t>
      </w:r>
      <w:r w:rsidRPr="002E7ED2">
        <w:rPr>
          <w:sz w:val="18"/>
          <w:szCs w:val="18"/>
        </w:rPr>
        <w:t xml:space="preserve"> </w:t>
      </w:r>
      <w:r w:rsidRPr="002E7ED2">
        <w:rPr>
          <w:b/>
          <w:bCs/>
          <w:sz w:val="18"/>
          <w:szCs w:val="18"/>
        </w:rPr>
        <w:t>(A</w:t>
      </w:r>
      <w:r>
        <w:rPr>
          <w:b/>
          <w:bCs/>
          <w:sz w:val="18"/>
          <w:szCs w:val="18"/>
        </w:rPr>
        <w:t>)</w:t>
      </w:r>
      <w:r w:rsidRPr="002E7ED2">
        <w:rPr>
          <w:b/>
          <w:bCs/>
          <w:sz w:val="18"/>
          <w:szCs w:val="18"/>
        </w:rPr>
        <w:t xml:space="preserve"> </w:t>
      </w:r>
      <w:r w:rsidRPr="002E7ED2">
        <w:rPr>
          <w:sz w:val="18"/>
          <w:szCs w:val="18"/>
        </w:rPr>
        <w:t xml:space="preserve">The schematic diagram of the strategy used for the complementation of </w:t>
      </w:r>
      <w:r w:rsidR="002E02C8" w:rsidRPr="002E7ED2">
        <w:rPr>
          <w:i/>
          <w:iCs/>
          <w:sz w:val="18"/>
          <w:szCs w:val="18"/>
        </w:rPr>
        <w:t>ΔSsarf6</w:t>
      </w:r>
      <w:r w:rsidRPr="002E7ED2">
        <w:rPr>
          <w:sz w:val="18"/>
          <w:szCs w:val="18"/>
        </w:rPr>
        <w:t>. The</w:t>
      </w:r>
      <w:r w:rsidRPr="002E7ED2">
        <w:rPr>
          <w:i/>
          <w:iCs/>
          <w:sz w:val="18"/>
          <w:szCs w:val="18"/>
        </w:rPr>
        <w:t xml:space="preserve"> SsArf6 </w:t>
      </w:r>
      <w:r w:rsidRPr="002E7ED2">
        <w:rPr>
          <w:sz w:val="18"/>
          <w:szCs w:val="18"/>
        </w:rPr>
        <w:t xml:space="preserve">gene, </w:t>
      </w:r>
      <w:r w:rsidRPr="002E7ED2">
        <w:rPr>
          <w:i/>
          <w:iCs/>
          <w:sz w:val="18"/>
          <w:szCs w:val="18"/>
        </w:rPr>
        <w:t xml:space="preserve">Hygromycin phosphotransferase </w:t>
      </w:r>
      <w:r w:rsidRPr="002E7ED2">
        <w:rPr>
          <w:sz w:val="18"/>
          <w:szCs w:val="18"/>
        </w:rPr>
        <w:t>gene (</w:t>
      </w:r>
      <w:proofErr w:type="spellStart"/>
      <w:r w:rsidRPr="002E7ED2">
        <w:rPr>
          <w:sz w:val="18"/>
          <w:szCs w:val="18"/>
        </w:rPr>
        <w:t>hph</w:t>
      </w:r>
      <w:proofErr w:type="spellEnd"/>
      <w:r w:rsidRPr="002E7ED2">
        <w:rPr>
          <w:sz w:val="18"/>
          <w:szCs w:val="18"/>
        </w:rPr>
        <w:t xml:space="preserve">), and G418 resistance gene </w:t>
      </w:r>
      <w:r w:rsidRPr="002E7ED2">
        <w:rPr>
          <w:i/>
          <w:iCs/>
          <w:sz w:val="18"/>
          <w:szCs w:val="18"/>
        </w:rPr>
        <w:t xml:space="preserve">NEO </w:t>
      </w:r>
      <w:r w:rsidR="00CD3ABB">
        <w:rPr>
          <w:sz w:val="18"/>
          <w:szCs w:val="18"/>
        </w:rPr>
        <w:t>we</w:t>
      </w:r>
      <w:r w:rsidRPr="002E7ED2">
        <w:rPr>
          <w:sz w:val="18"/>
          <w:szCs w:val="18"/>
        </w:rPr>
        <w:t xml:space="preserve">re denoted by yellow, red, and green rectangles, respectively. The labeled primers in the diagram were used for amplifying full-length genomic DNA of </w:t>
      </w:r>
      <w:r w:rsidRPr="002E7ED2">
        <w:rPr>
          <w:i/>
          <w:iCs/>
          <w:sz w:val="18"/>
          <w:szCs w:val="18"/>
        </w:rPr>
        <w:t>SsArf6</w:t>
      </w:r>
      <w:r w:rsidRPr="002E7ED2">
        <w:rPr>
          <w:sz w:val="18"/>
          <w:szCs w:val="18"/>
        </w:rPr>
        <w:t xml:space="preserve"> or facilitating </w:t>
      </w:r>
      <w:r w:rsidR="00CD3ABB">
        <w:rPr>
          <w:sz w:val="18"/>
          <w:szCs w:val="18"/>
        </w:rPr>
        <w:t>transform</w:t>
      </w:r>
      <w:r w:rsidRPr="002E7ED2">
        <w:rPr>
          <w:sz w:val="18"/>
          <w:szCs w:val="18"/>
        </w:rPr>
        <w:t xml:space="preserve">ant screening. </w:t>
      </w:r>
      <w:r w:rsidRPr="002E7ED2">
        <w:rPr>
          <w:b/>
          <w:bCs/>
          <w:sz w:val="18"/>
          <w:szCs w:val="18"/>
        </w:rPr>
        <w:t xml:space="preserve">(B) </w:t>
      </w:r>
      <w:r w:rsidRPr="002E7ED2">
        <w:rPr>
          <w:sz w:val="18"/>
          <w:szCs w:val="18"/>
        </w:rPr>
        <w:t xml:space="preserve">The verification of complementation of </w:t>
      </w:r>
      <w:r w:rsidRPr="002E7ED2">
        <w:rPr>
          <w:i/>
          <w:iCs/>
          <w:sz w:val="18"/>
          <w:szCs w:val="18"/>
        </w:rPr>
        <w:t xml:space="preserve">SsArf6 </w:t>
      </w:r>
      <w:r w:rsidRPr="002E7ED2">
        <w:rPr>
          <w:sz w:val="18"/>
          <w:szCs w:val="18"/>
        </w:rPr>
        <w:t>by PCR. Genomic DNA obtained from the deletion mutant</w:t>
      </w:r>
      <w:r w:rsidRPr="002E7ED2">
        <w:rPr>
          <w:i/>
          <w:iCs/>
          <w:sz w:val="18"/>
          <w:szCs w:val="18"/>
        </w:rPr>
        <w:t xml:space="preserve"> ΔSs</w:t>
      </w:r>
      <w:r w:rsidR="00723630">
        <w:rPr>
          <w:rFonts w:hint="eastAsia"/>
          <w:i/>
          <w:iCs/>
          <w:sz w:val="18"/>
          <w:szCs w:val="18"/>
        </w:rPr>
        <w:t>a</w:t>
      </w:r>
      <w:r w:rsidRPr="002E7ED2">
        <w:rPr>
          <w:i/>
          <w:iCs/>
          <w:sz w:val="18"/>
          <w:szCs w:val="18"/>
        </w:rPr>
        <w:t>rf6</w:t>
      </w:r>
      <w:r w:rsidRPr="002E7ED2">
        <w:rPr>
          <w:sz w:val="18"/>
          <w:szCs w:val="18"/>
        </w:rPr>
        <w:t xml:space="preserve">, and complemented mutant </w:t>
      </w:r>
      <w:r w:rsidRPr="002E7ED2">
        <w:rPr>
          <w:i/>
          <w:iCs/>
          <w:sz w:val="18"/>
          <w:szCs w:val="18"/>
        </w:rPr>
        <w:t xml:space="preserve">SsArf6-C </w:t>
      </w:r>
      <w:r>
        <w:rPr>
          <w:sz w:val="18"/>
          <w:szCs w:val="18"/>
        </w:rPr>
        <w:t>were</w:t>
      </w:r>
      <w:r w:rsidRPr="002E7ED2">
        <w:rPr>
          <w:sz w:val="18"/>
          <w:szCs w:val="18"/>
        </w:rPr>
        <w:t xml:space="preserve"> utilized as templates for PCR. A total of six primer pairs were employed to confirm the complementation of </w:t>
      </w:r>
      <w:r w:rsidRPr="002E7ED2">
        <w:rPr>
          <w:i/>
          <w:iCs/>
          <w:sz w:val="18"/>
          <w:szCs w:val="18"/>
        </w:rPr>
        <w:t>SsArf6</w:t>
      </w:r>
      <w:r w:rsidRPr="002E7ED2">
        <w:rPr>
          <w:sz w:val="18"/>
          <w:szCs w:val="18"/>
        </w:rPr>
        <w:t xml:space="preserve">. The sizes of the amplified bands </w:t>
      </w:r>
      <w:r w:rsidR="00CD3ABB">
        <w:rPr>
          <w:sz w:val="18"/>
          <w:szCs w:val="18"/>
        </w:rPr>
        <w:t>we</w:t>
      </w:r>
      <w:r w:rsidRPr="002E7ED2">
        <w:rPr>
          <w:sz w:val="18"/>
          <w:szCs w:val="18"/>
        </w:rPr>
        <w:t>re indicated within brackets. The lanes labeled as M represent the DNA marker.</w:t>
      </w:r>
    </w:p>
    <w:p w14:paraId="0477188C" w14:textId="79DEB655" w:rsidR="00CD3ABB" w:rsidRDefault="00CB70A3" w:rsidP="00115103">
      <w:pPr>
        <w:spacing w:before="120" w:after="240" w:line="228" w:lineRule="auto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 wp14:anchorId="7005CE1E" wp14:editId="2AD90223">
            <wp:extent cx="6645910" cy="1629410"/>
            <wp:effectExtent l="0" t="0" r="0" b="0"/>
            <wp:docPr id="879513985" name="图片 3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513985" name="图片 3" descr="图片包含 图形用户界面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2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F822A" w14:textId="47E47E61" w:rsidR="00462BCE" w:rsidRPr="002E7ED2" w:rsidRDefault="00462BCE" w:rsidP="00723630">
      <w:pPr>
        <w:spacing w:before="120" w:after="240" w:line="228" w:lineRule="auto"/>
        <w:rPr>
          <w:sz w:val="18"/>
          <w:szCs w:val="18"/>
        </w:rPr>
      </w:pPr>
      <w:r w:rsidRPr="002E7ED2">
        <w:rPr>
          <w:b/>
          <w:bCs/>
          <w:sz w:val="18"/>
          <w:szCs w:val="18"/>
        </w:rPr>
        <w:t>Figure S</w:t>
      </w:r>
      <w:r w:rsidR="00AF105C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>.</w:t>
      </w:r>
      <w:r w:rsidRPr="002E7ED2">
        <w:rPr>
          <w:b/>
          <w:bCs/>
          <w:sz w:val="18"/>
          <w:szCs w:val="18"/>
        </w:rPr>
        <w:t xml:space="preserve"> </w:t>
      </w:r>
      <w:r w:rsidRPr="002E7ED2">
        <w:rPr>
          <w:sz w:val="18"/>
          <w:szCs w:val="18"/>
        </w:rPr>
        <w:t xml:space="preserve">The semi-quantitative RT-PCR analysis of the </w:t>
      </w:r>
      <w:r w:rsidR="00CD3ABB" w:rsidRPr="002E7ED2">
        <w:rPr>
          <w:sz w:val="18"/>
          <w:szCs w:val="18"/>
        </w:rPr>
        <w:t>WT</w:t>
      </w:r>
      <w:r w:rsidR="00CD3ABB">
        <w:rPr>
          <w:sz w:val="18"/>
          <w:szCs w:val="18"/>
        </w:rPr>
        <w:t>,</w:t>
      </w:r>
      <w:r w:rsidR="00CD3ABB" w:rsidRPr="002E7ED2">
        <w:rPr>
          <w:i/>
          <w:iCs/>
          <w:sz w:val="18"/>
          <w:szCs w:val="18"/>
        </w:rPr>
        <w:t xml:space="preserve"> ΔSsarf6</w:t>
      </w:r>
      <w:r w:rsidR="00CD3ABB" w:rsidRPr="002E7ED2">
        <w:rPr>
          <w:sz w:val="18"/>
          <w:szCs w:val="18"/>
        </w:rPr>
        <w:t xml:space="preserve"> and</w:t>
      </w:r>
      <w:r w:rsidR="00CD3ABB" w:rsidRPr="002E7ED2">
        <w:rPr>
          <w:i/>
          <w:iCs/>
          <w:sz w:val="18"/>
          <w:szCs w:val="18"/>
        </w:rPr>
        <w:t xml:space="preserve"> SsArf6-C</w:t>
      </w:r>
      <w:r w:rsidRPr="002E7ED2">
        <w:rPr>
          <w:sz w:val="18"/>
          <w:szCs w:val="18"/>
        </w:rPr>
        <w:t xml:space="preserve"> strains. </w:t>
      </w:r>
      <w:r w:rsidR="00CD3ABB">
        <w:rPr>
          <w:sz w:val="18"/>
          <w:szCs w:val="18"/>
        </w:rPr>
        <w:t>S</w:t>
      </w:r>
      <w:r w:rsidRPr="002E7ED2">
        <w:rPr>
          <w:sz w:val="18"/>
          <w:szCs w:val="18"/>
        </w:rPr>
        <w:t>emi-quantitative RT-PCR was performed using</w:t>
      </w:r>
      <w:r w:rsidR="00CD3ABB" w:rsidRPr="00CD3ABB">
        <w:rPr>
          <w:sz w:val="18"/>
          <w:szCs w:val="18"/>
        </w:rPr>
        <w:t xml:space="preserve"> </w:t>
      </w:r>
      <w:r w:rsidR="00CD3ABB" w:rsidRPr="002E7ED2">
        <w:rPr>
          <w:sz w:val="18"/>
          <w:szCs w:val="18"/>
        </w:rPr>
        <w:t>cDNA templates</w:t>
      </w:r>
      <w:r w:rsidR="00CD3ABB">
        <w:rPr>
          <w:sz w:val="18"/>
          <w:szCs w:val="18"/>
        </w:rPr>
        <w:t xml:space="preserve"> from</w:t>
      </w:r>
      <w:r w:rsidR="00CD3ABB" w:rsidRPr="002E7ED2">
        <w:rPr>
          <w:sz w:val="18"/>
          <w:szCs w:val="18"/>
        </w:rPr>
        <w:t xml:space="preserve"> WT</w:t>
      </w:r>
      <w:r w:rsidR="00CD3ABB">
        <w:rPr>
          <w:sz w:val="18"/>
          <w:szCs w:val="18"/>
        </w:rPr>
        <w:t>,</w:t>
      </w:r>
      <w:r w:rsidRPr="002E7ED2">
        <w:rPr>
          <w:i/>
          <w:iCs/>
          <w:sz w:val="18"/>
          <w:szCs w:val="18"/>
        </w:rPr>
        <w:t xml:space="preserve"> ΔSsarf6</w:t>
      </w:r>
      <w:r w:rsidRPr="002E7ED2">
        <w:rPr>
          <w:sz w:val="18"/>
          <w:szCs w:val="18"/>
        </w:rPr>
        <w:t xml:space="preserve"> </w:t>
      </w:r>
      <w:r w:rsidR="00CD3ABB" w:rsidRPr="002E7ED2">
        <w:rPr>
          <w:sz w:val="18"/>
          <w:szCs w:val="18"/>
        </w:rPr>
        <w:t>and</w:t>
      </w:r>
      <w:r w:rsidR="00CD3ABB" w:rsidRPr="002E7ED2">
        <w:rPr>
          <w:i/>
          <w:iCs/>
          <w:sz w:val="18"/>
          <w:szCs w:val="18"/>
        </w:rPr>
        <w:t xml:space="preserve"> </w:t>
      </w:r>
      <w:r w:rsidRPr="002E7ED2">
        <w:rPr>
          <w:i/>
          <w:iCs/>
          <w:sz w:val="18"/>
          <w:szCs w:val="18"/>
        </w:rPr>
        <w:t>SsArf6-C</w:t>
      </w:r>
      <w:r w:rsidRPr="002E7ED2">
        <w:rPr>
          <w:sz w:val="18"/>
          <w:szCs w:val="18"/>
        </w:rPr>
        <w:t xml:space="preserve"> for 28 cycles.</w:t>
      </w:r>
      <w:r w:rsidRPr="00CD3ABB">
        <w:rPr>
          <w:i/>
          <w:iCs/>
          <w:sz w:val="18"/>
          <w:szCs w:val="18"/>
        </w:rPr>
        <w:t xml:space="preserve"> </w:t>
      </w:r>
      <w:proofErr w:type="spellStart"/>
      <w:r w:rsidRPr="00CD3ABB">
        <w:rPr>
          <w:i/>
          <w:iCs/>
          <w:sz w:val="18"/>
          <w:szCs w:val="18"/>
        </w:rPr>
        <w:t>SsTub</w:t>
      </w:r>
      <w:proofErr w:type="spellEnd"/>
      <w:r w:rsidRPr="002E7ED2">
        <w:rPr>
          <w:sz w:val="18"/>
          <w:szCs w:val="18"/>
        </w:rPr>
        <w:t xml:space="preserve"> (β-tubulin) was used as an internal reference.</w:t>
      </w:r>
    </w:p>
    <w:p w14:paraId="38117CC5" w14:textId="5446DA97" w:rsidR="00FB0DA1" w:rsidRPr="00467F0A" w:rsidRDefault="00FB0DA1">
      <w:pPr>
        <w:pStyle w:val="MDPI31text"/>
        <w:ind w:left="0" w:firstLine="0"/>
        <w:rPr>
          <w:rFonts w:eastAsia="宋体"/>
          <w:lang w:eastAsia="zh-CN"/>
        </w:rPr>
        <w:sectPr w:rsidR="00FB0DA1" w:rsidRPr="00467F0A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720" w:bottom="1077" w:left="720" w:header="1020" w:footer="340" w:gutter="0"/>
          <w:lnNumType w:countBy="1" w:distance="255" w:restart="continuous"/>
          <w:pgNumType w:start="1"/>
          <w:cols w:space="425"/>
          <w:titlePg/>
          <w:bidi/>
          <w:docGrid w:type="lines" w:linePitch="326"/>
        </w:sectPr>
      </w:pPr>
    </w:p>
    <w:tbl>
      <w:tblPr>
        <w:tblpPr w:leftFromText="180" w:rightFromText="180" w:vertAnchor="page" w:horzAnchor="margin" w:tblpY="1615"/>
        <w:tblW w:w="12758" w:type="dxa"/>
        <w:tblLook w:val="04A0" w:firstRow="1" w:lastRow="0" w:firstColumn="1" w:lastColumn="0" w:noHBand="0" w:noVBand="1"/>
      </w:tblPr>
      <w:tblGrid>
        <w:gridCol w:w="1508"/>
        <w:gridCol w:w="5008"/>
        <w:gridCol w:w="6242"/>
      </w:tblGrid>
      <w:tr w:rsidR="00860E35" w:rsidRPr="00637807" w14:paraId="188B30FD" w14:textId="77777777" w:rsidTr="005D4E64">
        <w:trPr>
          <w:trHeight w:val="90"/>
        </w:trPr>
        <w:tc>
          <w:tcPr>
            <w:tcW w:w="12758" w:type="dxa"/>
            <w:gridSpan w:val="3"/>
            <w:noWrap/>
            <w:vAlign w:val="center"/>
          </w:tcPr>
          <w:p w14:paraId="4DDC53E4" w14:textId="77777777" w:rsidR="00860E35" w:rsidRPr="00FB0DA1" w:rsidRDefault="00860E35" w:rsidP="005D4E64">
            <w:pPr>
              <w:jc w:val="left"/>
              <w:textAlignment w:val="center"/>
              <w:rPr>
                <w:sz w:val="18"/>
                <w:szCs w:val="18"/>
              </w:rPr>
            </w:pPr>
            <w:r w:rsidRPr="00FB0DA1">
              <w:rPr>
                <w:rFonts w:hint="eastAsia"/>
                <w:b/>
                <w:bCs/>
                <w:sz w:val="18"/>
                <w:szCs w:val="18"/>
              </w:rPr>
              <w:lastRenderedPageBreak/>
              <w:t>T</w:t>
            </w:r>
            <w:r w:rsidRPr="00FB0DA1">
              <w:rPr>
                <w:b/>
                <w:bCs/>
                <w:sz w:val="18"/>
                <w:szCs w:val="18"/>
              </w:rPr>
              <w:t>able S1.</w:t>
            </w:r>
            <w:r w:rsidRPr="00FB0DA1">
              <w:rPr>
                <w:sz w:val="18"/>
                <w:szCs w:val="18"/>
              </w:rPr>
              <w:t xml:space="preserve"> Primers </w:t>
            </w:r>
            <w:r>
              <w:rPr>
                <w:sz w:val="18"/>
                <w:szCs w:val="18"/>
              </w:rPr>
              <w:t xml:space="preserve">used </w:t>
            </w:r>
            <w:r w:rsidRPr="00FB0DA1">
              <w:rPr>
                <w:sz w:val="18"/>
                <w:szCs w:val="18"/>
              </w:rPr>
              <w:t>in study</w:t>
            </w:r>
          </w:p>
        </w:tc>
      </w:tr>
      <w:tr w:rsidR="00860E35" w:rsidRPr="00637807" w14:paraId="52007D80" w14:textId="77777777" w:rsidTr="005D4E64">
        <w:trPr>
          <w:trHeight w:val="90"/>
        </w:trPr>
        <w:tc>
          <w:tcPr>
            <w:tcW w:w="1508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2EE3279D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Primer name</w:t>
            </w:r>
          </w:p>
        </w:tc>
        <w:tc>
          <w:tcPr>
            <w:tcW w:w="5008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5B73735F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Primer sequence</w:t>
            </w:r>
          </w:p>
        </w:tc>
        <w:tc>
          <w:tcPr>
            <w:tcW w:w="6242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771DEC55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Primer function</w:t>
            </w:r>
          </w:p>
        </w:tc>
      </w:tr>
      <w:tr w:rsidR="00860E35" w:rsidRPr="00637807" w14:paraId="763E9EC2" w14:textId="77777777" w:rsidTr="005D4E64">
        <w:trPr>
          <w:trHeight w:val="277"/>
        </w:trPr>
        <w:tc>
          <w:tcPr>
            <w:tcW w:w="1508" w:type="dxa"/>
            <w:tcBorders>
              <w:top w:val="single" w:sz="4" w:space="0" w:color="auto"/>
            </w:tcBorders>
            <w:noWrap/>
            <w:vAlign w:val="center"/>
          </w:tcPr>
          <w:p w14:paraId="77DB84D1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UF</w:t>
            </w:r>
          </w:p>
        </w:tc>
        <w:tc>
          <w:tcPr>
            <w:tcW w:w="5008" w:type="dxa"/>
            <w:tcBorders>
              <w:top w:val="single" w:sz="4" w:space="0" w:color="auto"/>
            </w:tcBorders>
            <w:noWrap/>
            <w:vAlign w:val="center"/>
          </w:tcPr>
          <w:p w14:paraId="3B8346A7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GACAATCCGAGCACTCAA</w:t>
            </w:r>
          </w:p>
        </w:tc>
        <w:tc>
          <w:tcPr>
            <w:tcW w:w="6242" w:type="dxa"/>
            <w:vMerge w:val="restart"/>
            <w:tcBorders>
              <w:top w:val="single" w:sz="4" w:space="0" w:color="auto"/>
            </w:tcBorders>
            <w:vAlign w:val="center"/>
          </w:tcPr>
          <w:p w14:paraId="363A50E8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  <w:r w:rsidRPr="00637807">
              <w:rPr>
                <w:sz w:val="15"/>
                <w:szCs w:val="15"/>
              </w:rPr>
              <w:t xml:space="preserve">mplification of upstream sequence of </w:t>
            </w:r>
            <w:r w:rsidRPr="00FB0DA1">
              <w:rPr>
                <w:i/>
                <w:iCs/>
                <w:sz w:val="15"/>
                <w:szCs w:val="15"/>
              </w:rPr>
              <w:t>SsArf6</w:t>
            </w:r>
            <w:r w:rsidRPr="00637807">
              <w:rPr>
                <w:sz w:val="15"/>
                <w:szCs w:val="15"/>
              </w:rPr>
              <w:t>.</w:t>
            </w:r>
            <w:r>
              <w:rPr>
                <w:sz w:val="15"/>
                <w:szCs w:val="15"/>
              </w:rPr>
              <w:t xml:space="preserve"> </w:t>
            </w:r>
            <w:r w:rsidRPr="00637807">
              <w:rPr>
                <w:sz w:val="15"/>
                <w:szCs w:val="15"/>
              </w:rPr>
              <w:t>The red part presents homologous sequences from HY fragment using for homologous recombination.</w:t>
            </w:r>
          </w:p>
        </w:tc>
      </w:tr>
      <w:tr w:rsidR="00860E35" w:rsidRPr="00637807" w14:paraId="3C68E241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5B5D6772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UR</w:t>
            </w:r>
          </w:p>
        </w:tc>
        <w:tc>
          <w:tcPr>
            <w:tcW w:w="5008" w:type="dxa"/>
            <w:noWrap/>
            <w:vAlign w:val="center"/>
          </w:tcPr>
          <w:p w14:paraId="29565AB4" w14:textId="77777777" w:rsidR="00860E35" w:rsidRPr="00637807" w:rsidRDefault="00860E35" w:rsidP="005D4E64">
            <w:pPr>
              <w:jc w:val="left"/>
              <w:textAlignment w:val="center"/>
              <w:rPr>
                <w:color w:val="FF0000"/>
                <w:sz w:val="15"/>
                <w:szCs w:val="15"/>
              </w:rPr>
            </w:pPr>
            <w:r w:rsidRPr="00637807">
              <w:rPr>
                <w:color w:val="FF0000"/>
                <w:sz w:val="15"/>
                <w:szCs w:val="15"/>
              </w:rPr>
              <w:t>GTGCTCCTTCAATATCATCTTCTGT</w:t>
            </w:r>
            <w:r w:rsidRPr="00637807">
              <w:rPr>
                <w:sz w:val="15"/>
                <w:szCs w:val="15"/>
              </w:rPr>
              <w:t xml:space="preserve"> CGAGATATGCGTGTGTATG</w:t>
            </w:r>
          </w:p>
        </w:tc>
        <w:tc>
          <w:tcPr>
            <w:tcW w:w="6242" w:type="dxa"/>
            <w:vMerge/>
            <w:vAlign w:val="center"/>
          </w:tcPr>
          <w:p w14:paraId="70E28082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742479B8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1EBCA82A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DF</w:t>
            </w:r>
          </w:p>
        </w:tc>
        <w:tc>
          <w:tcPr>
            <w:tcW w:w="5008" w:type="dxa"/>
            <w:noWrap/>
            <w:vAlign w:val="center"/>
          </w:tcPr>
          <w:p w14:paraId="468C10D9" w14:textId="77777777" w:rsidR="00860E35" w:rsidRPr="00637807" w:rsidRDefault="00860E35" w:rsidP="005D4E64">
            <w:pPr>
              <w:jc w:val="left"/>
              <w:textAlignment w:val="center"/>
              <w:rPr>
                <w:color w:val="FF0000"/>
                <w:sz w:val="15"/>
                <w:szCs w:val="15"/>
              </w:rPr>
            </w:pPr>
            <w:r w:rsidRPr="00637807">
              <w:rPr>
                <w:color w:val="FF0000"/>
                <w:sz w:val="15"/>
                <w:szCs w:val="15"/>
              </w:rPr>
              <w:t>AGGTACACTTGTTTAGAGGTAATCC</w:t>
            </w:r>
            <w:r w:rsidRPr="00637807">
              <w:rPr>
                <w:sz w:val="15"/>
                <w:szCs w:val="15"/>
              </w:rPr>
              <w:t>GCTCCAATCTACCTTCTCG</w:t>
            </w:r>
          </w:p>
        </w:tc>
        <w:tc>
          <w:tcPr>
            <w:tcW w:w="6242" w:type="dxa"/>
            <w:vMerge w:val="restart"/>
            <w:vAlign w:val="center"/>
          </w:tcPr>
          <w:p w14:paraId="066F3A83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  <w:r w:rsidRPr="00637807">
              <w:rPr>
                <w:sz w:val="15"/>
                <w:szCs w:val="15"/>
              </w:rPr>
              <w:t>mplification of upstream sequence of</w:t>
            </w:r>
            <w:r w:rsidRPr="00FB0DA1">
              <w:rPr>
                <w:i/>
                <w:iCs/>
                <w:sz w:val="15"/>
                <w:szCs w:val="15"/>
              </w:rPr>
              <w:t xml:space="preserve"> SsArf6.</w:t>
            </w:r>
            <w:r>
              <w:rPr>
                <w:i/>
                <w:iCs/>
                <w:sz w:val="15"/>
                <w:szCs w:val="15"/>
              </w:rPr>
              <w:t xml:space="preserve"> </w:t>
            </w:r>
            <w:r w:rsidRPr="00637807">
              <w:rPr>
                <w:sz w:val="15"/>
                <w:szCs w:val="15"/>
              </w:rPr>
              <w:t>The red part presents homologous sequences from YG fragment using for homologous recombination.</w:t>
            </w:r>
          </w:p>
        </w:tc>
      </w:tr>
      <w:tr w:rsidR="00860E35" w:rsidRPr="00637807" w14:paraId="7ADC2F58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365E88A5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DR</w:t>
            </w:r>
          </w:p>
        </w:tc>
        <w:tc>
          <w:tcPr>
            <w:tcW w:w="5008" w:type="dxa"/>
            <w:noWrap/>
            <w:vAlign w:val="center"/>
          </w:tcPr>
          <w:p w14:paraId="63AD0512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GGAATTGGAAAATGGGGT</w:t>
            </w:r>
          </w:p>
        </w:tc>
        <w:tc>
          <w:tcPr>
            <w:tcW w:w="6242" w:type="dxa"/>
            <w:vMerge/>
            <w:vAlign w:val="center"/>
          </w:tcPr>
          <w:p w14:paraId="7FA8694A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32D4CBF8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6C113FB9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HYGF</w:t>
            </w:r>
          </w:p>
        </w:tc>
        <w:tc>
          <w:tcPr>
            <w:tcW w:w="5008" w:type="dxa"/>
            <w:noWrap/>
            <w:vAlign w:val="center"/>
          </w:tcPr>
          <w:p w14:paraId="6CC686AD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ACAGAAGATGATATTGAAGGAGCAC</w:t>
            </w:r>
          </w:p>
        </w:tc>
        <w:tc>
          <w:tcPr>
            <w:tcW w:w="6242" w:type="dxa"/>
            <w:vMerge w:val="restart"/>
            <w:noWrap/>
            <w:vAlign w:val="center"/>
          </w:tcPr>
          <w:p w14:paraId="17299F66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  <w:r w:rsidRPr="00637807">
              <w:rPr>
                <w:sz w:val="15"/>
                <w:szCs w:val="15"/>
              </w:rPr>
              <w:t>mplification of HY and YG fragment</w:t>
            </w:r>
          </w:p>
        </w:tc>
      </w:tr>
      <w:tr w:rsidR="00860E35" w:rsidRPr="00637807" w14:paraId="7A600BFB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28A1C09D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HYR</w:t>
            </w:r>
          </w:p>
        </w:tc>
        <w:tc>
          <w:tcPr>
            <w:tcW w:w="5008" w:type="dxa"/>
            <w:noWrap/>
            <w:vAlign w:val="center"/>
          </w:tcPr>
          <w:p w14:paraId="60670081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GCATCATCGAAATTGCCGTCAACC</w:t>
            </w:r>
          </w:p>
        </w:tc>
        <w:tc>
          <w:tcPr>
            <w:tcW w:w="6242" w:type="dxa"/>
            <w:vMerge/>
            <w:vAlign w:val="center"/>
          </w:tcPr>
          <w:p w14:paraId="6A8B3AEA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41F6FB65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51B88861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YGF</w:t>
            </w:r>
          </w:p>
        </w:tc>
        <w:tc>
          <w:tcPr>
            <w:tcW w:w="5008" w:type="dxa"/>
            <w:noWrap/>
            <w:vAlign w:val="center"/>
          </w:tcPr>
          <w:p w14:paraId="2F54D62B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TCTCGGAGGGCGAAGAATCTCGTGC</w:t>
            </w:r>
          </w:p>
        </w:tc>
        <w:tc>
          <w:tcPr>
            <w:tcW w:w="6242" w:type="dxa"/>
            <w:vMerge/>
            <w:vAlign w:val="center"/>
          </w:tcPr>
          <w:p w14:paraId="64A8FCCC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497E340F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3B173100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HYGR</w:t>
            </w:r>
          </w:p>
        </w:tc>
        <w:tc>
          <w:tcPr>
            <w:tcW w:w="5008" w:type="dxa"/>
            <w:noWrap/>
            <w:vAlign w:val="center"/>
          </w:tcPr>
          <w:p w14:paraId="03BFA8A4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GGATTACCTCTAAACAAGTGTACCT</w:t>
            </w:r>
          </w:p>
        </w:tc>
        <w:tc>
          <w:tcPr>
            <w:tcW w:w="6242" w:type="dxa"/>
            <w:vMerge/>
            <w:vAlign w:val="center"/>
          </w:tcPr>
          <w:p w14:paraId="6AB554AC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4CBE06F3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099FFAAB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UF1</w:t>
            </w:r>
          </w:p>
        </w:tc>
        <w:tc>
          <w:tcPr>
            <w:tcW w:w="5008" w:type="dxa"/>
            <w:noWrap/>
            <w:vAlign w:val="center"/>
          </w:tcPr>
          <w:p w14:paraId="59603614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GACTCTTACCTCGCAATGAA</w:t>
            </w:r>
          </w:p>
        </w:tc>
        <w:tc>
          <w:tcPr>
            <w:tcW w:w="6242" w:type="dxa"/>
            <w:vMerge w:val="restart"/>
            <w:noWrap/>
            <w:vAlign w:val="center"/>
          </w:tcPr>
          <w:p w14:paraId="5B0793CD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Check if the position of homologous substitution is correct</w:t>
            </w:r>
          </w:p>
        </w:tc>
      </w:tr>
      <w:tr w:rsidR="00860E35" w:rsidRPr="00637807" w14:paraId="3F15262B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311D6C33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HYR1</w:t>
            </w:r>
          </w:p>
        </w:tc>
        <w:tc>
          <w:tcPr>
            <w:tcW w:w="5008" w:type="dxa"/>
            <w:noWrap/>
            <w:vAlign w:val="center"/>
          </w:tcPr>
          <w:p w14:paraId="50CCA4C9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CGTTCCTGTCTGCTAATAAG</w:t>
            </w:r>
          </w:p>
        </w:tc>
        <w:tc>
          <w:tcPr>
            <w:tcW w:w="6242" w:type="dxa"/>
            <w:vMerge/>
            <w:vAlign w:val="center"/>
          </w:tcPr>
          <w:p w14:paraId="55DA9F11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2ABB6EF1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2966150B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YGF1</w:t>
            </w:r>
          </w:p>
        </w:tc>
        <w:tc>
          <w:tcPr>
            <w:tcW w:w="5008" w:type="dxa"/>
            <w:noWrap/>
            <w:vAlign w:val="center"/>
          </w:tcPr>
          <w:p w14:paraId="4C41FD2B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TAGTGAATGCTCCGTAACA</w:t>
            </w:r>
          </w:p>
        </w:tc>
        <w:tc>
          <w:tcPr>
            <w:tcW w:w="6242" w:type="dxa"/>
            <w:vMerge/>
            <w:vAlign w:val="center"/>
          </w:tcPr>
          <w:p w14:paraId="1A9A40FA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1591B37F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739BEF43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DR1</w:t>
            </w:r>
          </w:p>
        </w:tc>
        <w:tc>
          <w:tcPr>
            <w:tcW w:w="5008" w:type="dxa"/>
            <w:noWrap/>
            <w:vAlign w:val="center"/>
          </w:tcPr>
          <w:p w14:paraId="4036C3C4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CTCGGTCATTGATTGTGTATAG</w:t>
            </w:r>
          </w:p>
        </w:tc>
        <w:tc>
          <w:tcPr>
            <w:tcW w:w="6242" w:type="dxa"/>
            <w:vMerge/>
            <w:vAlign w:val="center"/>
          </w:tcPr>
          <w:p w14:paraId="10011BBC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46EAA898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119FCB75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Arf6F</w:t>
            </w:r>
          </w:p>
        </w:tc>
        <w:tc>
          <w:tcPr>
            <w:tcW w:w="5008" w:type="dxa"/>
            <w:noWrap/>
            <w:vAlign w:val="center"/>
          </w:tcPr>
          <w:p w14:paraId="3A4D0372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GACTCTTACCTCGCAATGAA</w:t>
            </w:r>
          </w:p>
        </w:tc>
        <w:tc>
          <w:tcPr>
            <w:tcW w:w="6242" w:type="dxa"/>
            <w:vMerge w:val="restart"/>
            <w:vAlign w:val="center"/>
          </w:tcPr>
          <w:p w14:paraId="378A123E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Amplification of upstream and full-length sequences of</w:t>
            </w:r>
            <w:r w:rsidRPr="00FB0DA1">
              <w:rPr>
                <w:i/>
                <w:iCs/>
                <w:sz w:val="15"/>
                <w:szCs w:val="15"/>
              </w:rPr>
              <w:t xml:space="preserve"> SsArf6</w:t>
            </w:r>
            <w:r w:rsidRPr="00637807">
              <w:rPr>
                <w:sz w:val="15"/>
                <w:szCs w:val="15"/>
              </w:rPr>
              <w:t xml:space="preserve">.The lowercase part presents homologous sequences from NEO fragment using for </w:t>
            </w:r>
            <w:r w:rsidRPr="00637807">
              <w:rPr>
                <w:sz w:val="15"/>
                <w:szCs w:val="15"/>
              </w:rPr>
              <w:br/>
              <w:t>homologous recombination.</w:t>
            </w:r>
          </w:p>
        </w:tc>
      </w:tr>
      <w:tr w:rsidR="00860E35" w:rsidRPr="00637807" w14:paraId="25D34C36" w14:textId="77777777" w:rsidTr="005D4E64">
        <w:trPr>
          <w:trHeight w:val="536"/>
        </w:trPr>
        <w:tc>
          <w:tcPr>
            <w:tcW w:w="1508" w:type="dxa"/>
            <w:noWrap/>
            <w:vAlign w:val="center"/>
          </w:tcPr>
          <w:p w14:paraId="3352A16B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Arf6R</w:t>
            </w:r>
          </w:p>
        </w:tc>
        <w:tc>
          <w:tcPr>
            <w:tcW w:w="5008" w:type="dxa"/>
            <w:noWrap/>
            <w:vAlign w:val="center"/>
          </w:tcPr>
          <w:p w14:paraId="04074351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proofErr w:type="spellStart"/>
            <w:r w:rsidRPr="00637807">
              <w:rPr>
                <w:sz w:val="15"/>
                <w:szCs w:val="15"/>
              </w:rPr>
              <w:t>agtgctccttcaatatcatcttctgCTTTGCTTGTGGAGCAGG</w:t>
            </w:r>
            <w:proofErr w:type="spellEnd"/>
          </w:p>
        </w:tc>
        <w:tc>
          <w:tcPr>
            <w:tcW w:w="6242" w:type="dxa"/>
            <w:vMerge/>
            <w:vAlign w:val="center"/>
          </w:tcPr>
          <w:p w14:paraId="25AE2BCE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1824C68F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361F8D4F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NEOF</w:t>
            </w:r>
          </w:p>
        </w:tc>
        <w:tc>
          <w:tcPr>
            <w:tcW w:w="5008" w:type="dxa"/>
            <w:noWrap/>
            <w:vAlign w:val="center"/>
          </w:tcPr>
          <w:p w14:paraId="737CD36E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CAGAAGATGATATTGAAGGAGCAC</w:t>
            </w:r>
          </w:p>
        </w:tc>
        <w:tc>
          <w:tcPr>
            <w:tcW w:w="6242" w:type="dxa"/>
            <w:vMerge w:val="restart"/>
            <w:noWrap/>
            <w:vAlign w:val="center"/>
          </w:tcPr>
          <w:p w14:paraId="16C82AF5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Amplification of NEO sequence of G4</w:t>
            </w:r>
            <w:r>
              <w:rPr>
                <w:sz w:val="15"/>
                <w:szCs w:val="15"/>
              </w:rPr>
              <w:t>1</w:t>
            </w:r>
            <w:r w:rsidRPr="00637807">
              <w:rPr>
                <w:sz w:val="15"/>
                <w:szCs w:val="15"/>
              </w:rPr>
              <w:t>8 resistance gene</w:t>
            </w:r>
          </w:p>
        </w:tc>
      </w:tr>
      <w:tr w:rsidR="00860E35" w:rsidRPr="00637807" w14:paraId="6F2F6086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55E20F59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NEOR</w:t>
            </w:r>
          </w:p>
        </w:tc>
        <w:tc>
          <w:tcPr>
            <w:tcW w:w="5008" w:type="dxa"/>
            <w:noWrap/>
            <w:vAlign w:val="center"/>
          </w:tcPr>
          <w:p w14:paraId="5C73BA66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GGATTACCTCTAAACAAGTGTACCT</w:t>
            </w:r>
          </w:p>
        </w:tc>
        <w:tc>
          <w:tcPr>
            <w:tcW w:w="6242" w:type="dxa"/>
            <w:vMerge/>
            <w:vAlign w:val="center"/>
          </w:tcPr>
          <w:p w14:paraId="5EC2B890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653B3B34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0796EA52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proofErr w:type="spellStart"/>
            <w:r w:rsidRPr="00637807">
              <w:rPr>
                <w:sz w:val="15"/>
                <w:szCs w:val="15"/>
              </w:rPr>
              <w:t>checkF</w:t>
            </w:r>
            <w:proofErr w:type="spellEnd"/>
          </w:p>
        </w:tc>
        <w:tc>
          <w:tcPr>
            <w:tcW w:w="5008" w:type="dxa"/>
            <w:noWrap/>
            <w:vAlign w:val="center"/>
          </w:tcPr>
          <w:p w14:paraId="43A80629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GTAGAGACGGTGACATATAAGA</w:t>
            </w:r>
          </w:p>
        </w:tc>
        <w:tc>
          <w:tcPr>
            <w:tcW w:w="6242" w:type="dxa"/>
            <w:vMerge w:val="restart"/>
            <w:noWrap/>
            <w:vAlign w:val="center"/>
          </w:tcPr>
          <w:p w14:paraId="2001197B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Knockout transformants identification</w:t>
            </w:r>
          </w:p>
        </w:tc>
      </w:tr>
      <w:tr w:rsidR="00860E35" w:rsidRPr="00637807" w14:paraId="506B4418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2C5B2A96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proofErr w:type="spellStart"/>
            <w:r w:rsidRPr="00637807">
              <w:rPr>
                <w:sz w:val="15"/>
                <w:szCs w:val="15"/>
              </w:rPr>
              <w:t>checkR</w:t>
            </w:r>
            <w:proofErr w:type="spellEnd"/>
          </w:p>
        </w:tc>
        <w:tc>
          <w:tcPr>
            <w:tcW w:w="5008" w:type="dxa"/>
            <w:noWrap/>
            <w:vAlign w:val="center"/>
          </w:tcPr>
          <w:p w14:paraId="407D7729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CATACCAATCCTTCCATTAACC</w:t>
            </w:r>
          </w:p>
        </w:tc>
        <w:tc>
          <w:tcPr>
            <w:tcW w:w="6242" w:type="dxa"/>
            <w:vMerge/>
            <w:vAlign w:val="center"/>
          </w:tcPr>
          <w:p w14:paraId="2851425A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56AC8671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3E203EE9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proofErr w:type="spellStart"/>
            <w:r w:rsidRPr="00637807">
              <w:rPr>
                <w:sz w:val="15"/>
                <w:szCs w:val="15"/>
              </w:rPr>
              <w:t>checkF</w:t>
            </w:r>
            <w:proofErr w:type="spellEnd"/>
          </w:p>
        </w:tc>
        <w:tc>
          <w:tcPr>
            <w:tcW w:w="5008" w:type="dxa"/>
            <w:noWrap/>
            <w:vAlign w:val="center"/>
          </w:tcPr>
          <w:p w14:paraId="761A4396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GTAGAGACGGTGACATATAAGA</w:t>
            </w:r>
          </w:p>
        </w:tc>
        <w:tc>
          <w:tcPr>
            <w:tcW w:w="6242" w:type="dxa"/>
            <w:vMerge w:val="restart"/>
            <w:vAlign w:val="center"/>
          </w:tcPr>
          <w:p w14:paraId="689FD49D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 xml:space="preserve">Complementation transformants identification </w:t>
            </w:r>
          </w:p>
        </w:tc>
      </w:tr>
      <w:tr w:rsidR="00860E35" w:rsidRPr="00637807" w14:paraId="6521AEE2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33AE7D1C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NER</w:t>
            </w:r>
          </w:p>
        </w:tc>
        <w:tc>
          <w:tcPr>
            <w:tcW w:w="5008" w:type="dxa"/>
            <w:noWrap/>
            <w:vAlign w:val="center"/>
          </w:tcPr>
          <w:p w14:paraId="48026FC4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CGTCAAGAAGGCGATAGAA</w:t>
            </w:r>
          </w:p>
        </w:tc>
        <w:tc>
          <w:tcPr>
            <w:tcW w:w="6242" w:type="dxa"/>
            <w:vMerge/>
            <w:vAlign w:val="center"/>
          </w:tcPr>
          <w:p w14:paraId="20868ED1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3A055ABA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583EEE77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EOF</w:t>
            </w:r>
          </w:p>
        </w:tc>
        <w:tc>
          <w:tcPr>
            <w:tcW w:w="5008" w:type="dxa"/>
            <w:noWrap/>
            <w:vAlign w:val="center"/>
          </w:tcPr>
          <w:p w14:paraId="014F2752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TCTCCTGTCATCTCACCTT</w:t>
            </w:r>
          </w:p>
        </w:tc>
        <w:tc>
          <w:tcPr>
            <w:tcW w:w="6242" w:type="dxa"/>
            <w:vMerge/>
            <w:vAlign w:val="center"/>
          </w:tcPr>
          <w:p w14:paraId="54A43155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637807" w14:paraId="1A167A68" w14:textId="77777777" w:rsidTr="005D4E64">
        <w:trPr>
          <w:trHeight w:val="277"/>
        </w:trPr>
        <w:tc>
          <w:tcPr>
            <w:tcW w:w="1508" w:type="dxa"/>
            <w:noWrap/>
            <w:vAlign w:val="center"/>
          </w:tcPr>
          <w:p w14:paraId="7A76767F" w14:textId="77777777" w:rsidR="00860E35" w:rsidRPr="00637807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DR</w:t>
            </w:r>
          </w:p>
        </w:tc>
        <w:tc>
          <w:tcPr>
            <w:tcW w:w="5008" w:type="dxa"/>
            <w:noWrap/>
            <w:vAlign w:val="center"/>
          </w:tcPr>
          <w:p w14:paraId="2DACD9AD" w14:textId="77777777" w:rsidR="00860E35" w:rsidRPr="00637807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>GGAATTGGAAAATGGGGT</w:t>
            </w:r>
          </w:p>
        </w:tc>
        <w:tc>
          <w:tcPr>
            <w:tcW w:w="6242" w:type="dxa"/>
            <w:vMerge/>
            <w:vAlign w:val="center"/>
          </w:tcPr>
          <w:p w14:paraId="5B279F48" w14:textId="77777777" w:rsidR="00860E35" w:rsidRPr="00637807" w:rsidRDefault="00860E35" w:rsidP="005D4E64">
            <w:pPr>
              <w:jc w:val="left"/>
              <w:rPr>
                <w:kern w:val="2"/>
                <w:sz w:val="15"/>
                <w:szCs w:val="15"/>
              </w:rPr>
            </w:pPr>
          </w:p>
        </w:tc>
      </w:tr>
      <w:tr w:rsidR="00860E35" w:rsidRPr="00FB0DA1" w14:paraId="6C28E273" w14:textId="77777777" w:rsidTr="005D4E64">
        <w:trPr>
          <w:trHeight w:val="336"/>
        </w:trPr>
        <w:tc>
          <w:tcPr>
            <w:tcW w:w="1508" w:type="dxa"/>
            <w:noWrap/>
            <w:vAlign w:val="center"/>
          </w:tcPr>
          <w:p w14:paraId="6B6294D0" w14:textId="77777777" w:rsidR="00860E35" w:rsidRPr="00FB0DA1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proofErr w:type="spellStart"/>
            <w:r w:rsidRPr="00FB0DA1">
              <w:rPr>
                <w:sz w:val="15"/>
                <w:szCs w:val="15"/>
              </w:rPr>
              <w:t>SsTubqF</w:t>
            </w:r>
            <w:proofErr w:type="spellEnd"/>
          </w:p>
        </w:tc>
        <w:tc>
          <w:tcPr>
            <w:tcW w:w="5008" w:type="dxa"/>
            <w:noWrap/>
            <w:vAlign w:val="center"/>
          </w:tcPr>
          <w:p w14:paraId="3FF3CFC5" w14:textId="77777777" w:rsidR="00860E35" w:rsidRPr="00FB0DA1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FB0DA1">
              <w:rPr>
                <w:sz w:val="15"/>
                <w:szCs w:val="15"/>
              </w:rPr>
              <w:t>ACCTCCATCCAAGAACTC</w:t>
            </w:r>
          </w:p>
        </w:tc>
        <w:tc>
          <w:tcPr>
            <w:tcW w:w="6242" w:type="dxa"/>
            <w:vMerge w:val="restart"/>
            <w:noWrap/>
            <w:vAlign w:val="center"/>
          </w:tcPr>
          <w:p w14:paraId="07769B1A" w14:textId="77777777" w:rsidR="00860E35" w:rsidRPr="00FB0DA1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r w:rsidRPr="00637807">
              <w:rPr>
                <w:sz w:val="15"/>
                <w:szCs w:val="15"/>
              </w:rPr>
              <w:t xml:space="preserve">Amplification of </w:t>
            </w:r>
            <w:r>
              <w:rPr>
                <w:sz w:val="15"/>
                <w:szCs w:val="15"/>
              </w:rPr>
              <w:t>r</w:t>
            </w:r>
            <w:r w:rsidRPr="00FB0DA1">
              <w:rPr>
                <w:sz w:val="15"/>
                <w:szCs w:val="15"/>
              </w:rPr>
              <w:t>eference gene</w:t>
            </w:r>
          </w:p>
        </w:tc>
      </w:tr>
      <w:tr w:rsidR="00860E35" w:rsidRPr="00FB0DA1" w14:paraId="00F57A33" w14:textId="77777777" w:rsidTr="005D4E64">
        <w:trPr>
          <w:trHeight w:val="336"/>
        </w:trPr>
        <w:tc>
          <w:tcPr>
            <w:tcW w:w="1508" w:type="dxa"/>
            <w:tcBorders>
              <w:bottom w:val="single" w:sz="8" w:space="0" w:color="auto"/>
            </w:tcBorders>
            <w:noWrap/>
            <w:vAlign w:val="center"/>
          </w:tcPr>
          <w:p w14:paraId="778443D8" w14:textId="77777777" w:rsidR="00860E35" w:rsidRPr="00FB0DA1" w:rsidRDefault="00860E35" w:rsidP="005D4E64">
            <w:pPr>
              <w:jc w:val="center"/>
              <w:textAlignment w:val="center"/>
              <w:rPr>
                <w:sz w:val="15"/>
                <w:szCs w:val="15"/>
              </w:rPr>
            </w:pPr>
            <w:proofErr w:type="spellStart"/>
            <w:r w:rsidRPr="00FB0DA1">
              <w:rPr>
                <w:sz w:val="15"/>
                <w:szCs w:val="15"/>
              </w:rPr>
              <w:t>SsTubqR</w:t>
            </w:r>
            <w:proofErr w:type="spellEnd"/>
          </w:p>
        </w:tc>
        <w:tc>
          <w:tcPr>
            <w:tcW w:w="5008" w:type="dxa"/>
            <w:tcBorders>
              <w:bottom w:val="single" w:sz="8" w:space="0" w:color="auto"/>
            </w:tcBorders>
            <w:noWrap/>
            <w:vAlign w:val="center"/>
          </w:tcPr>
          <w:p w14:paraId="282BAF3B" w14:textId="77777777" w:rsidR="00860E35" w:rsidRPr="00FB0DA1" w:rsidRDefault="00860E35" w:rsidP="005D4E64">
            <w:pPr>
              <w:jc w:val="left"/>
              <w:textAlignment w:val="center"/>
              <w:rPr>
                <w:sz w:val="15"/>
                <w:szCs w:val="15"/>
              </w:rPr>
            </w:pPr>
            <w:r w:rsidRPr="00FB0DA1">
              <w:rPr>
                <w:sz w:val="15"/>
                <w:szCs w:val="15"/>
              </w:rPr>
              <w:t>GAACTCCATCTCGTCCAT</w:t>
            </w:r>
          </w:p>
        </w:tc>
        <w:tc>
          <w:tcPr>
            <w:tcW w:w="6242" w:type="dxa"/>
            <w:vMerge/>
            <w:tcBorders>
              <w:bottom w:val="single" w:sz="8" w:space="0" w:color="auto"/>
            </w:tcBorders>
            <w:vAlign w:val="center"/>
          </w:tcPr>
          <w:p w14:paraId="2EEE245B" w14:textId="77777777" w:rsidR="00860E35" w:rsidRPr="00FB0DA1" w:rsidRDefault="00860E35" w:rsidP="005D4E64">
            <w:pPr>
              <w:jc w:val="center"/>
              <w:rPr>
                <w:kern w:val="2"/>
                <w:sz w:val="15"/>
                <w:szCs w:val="15"/>
              </w:rPr>
            </w:pPr>
          </w:p>
        </w:tc>
      </w:tr>
    </w:tbl>
    <w:p w14:paraId="49DE23FA" w14:textId="53E6E176" w:rsidR="00A169B5" w:rsidRPr="00FB0DA1" w:rsidRDefault="00A169B5" w:rsidP="00860E35">
      <w:pPr>
        <w:pStyle w:val="MDPI31text"/>
        <w:ind w:left="0" w:firstLine="0"/>
        <w:rPr>
          <w:sz w:val="15"/>
          <w:szCs w:val="15"/>
        </w:rPr>
      </w:pPr>
    </w:p>
    <w:sectPr w:rsidR="00A169B5" w:rsidRPr="00FB0DA1">
      <w:headerReference w:type="default" r:id="rId16"/>
      <w:footerReference w:type="default" r:id="rId17"/>
      <w:headerReference w:type="first" r:id="rId18"/>
      <w:footerReference w:type="first" r:id="rId19"/>
      <w:pgSz w:w="16838" w:h="11906" w:orient="landscape"/>
      <w:pgMar w:top="720" w:right="1417" w:bottom="720" w:left="1077" w:header="1020" w:footer="340" w:gutter="0"/>
      <w:lnNumType w:countBy="1" w:distance="255" w:restart="continuous"/>
      <w:pgNumType w:start="1"/>
      <w:cols w:space="425"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2E706" w14:textId="77777777" w:rsidR="008910BB" w:rsidRDefault="008910BB">
      <w:pPr>
        <w:spacing w:line="240" w:lineRule="auto"/>
      </w:pPr>
      <w:r>
        <w:separator/>
      </w:r>
    </w:p>
  </w:endnote>
  <w:endnote w:type="continuationSeparator" w:id="0">
    <w:p w14:paraId="64E93B76" w14:textId="77777777" w:rsidR="008910BB" w:rsidRDefault="008910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26686" w14:textId="77777777" w:rsidR="00A169B5" w:rsidRDefault="00A169B5">
    <w:pPr>
      <w:pStyle w:val="ab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3DA47" w14:textId="77777777" w:rsidR="00A169B5" w:rsidRDefault="00A169B5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  <w:lang w:val="it-IT"/>
      </w:rPr>
    </w:pPr>
  </w:p>
  <w:p w14:paraId="6EC9D206" w14:textId="5E551076" w:rsidR="00A169B5" w:rsidRDefault="00000000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>
      <w:rPr>
        <w:i/>
        <w:sz w:val="16"/>
        <w:szCs w:val="16"/>
        <w:lang w:val="it-IT"/>
      </w:rPr>
      <w:t xml:space="preserve">J. Fungi </w:t>
    </w:r>
    <w:r>
      <w:rPr>
        <w:b/>
        <w:bCs/>
        <w:iCs/>
        <w:sz w:val="16"/>
        <w:szCs w:val="16"/>
        <w:lang w:val="it-IT"/>
      </w:rPr>
      <w:t>2023</w:t>
    </w:r>
    <w:r>
      <w:rPr>
        <w:bCs/>
        <w:iCs/>
        <w:sz w:val="16"/>
        <w:szCs w:val="16"/>
        <w:lang w:val="it-IT"/>
      </w:rPr>
      <w:t>,</w:t>
    </w:r>
    <w:r>
      <w:rPr>
        <w:bCs/>
        <w:i/>
        <w:iCs/>
        <w:sz w:val="16"/>
        <w:szCs w:val="16"/>
        <w:lang w:val="it-IT"/>
      </w:rPr>
      <w:t xml:space="preserve"> </w:t>
    </w:r>
    <w:r w:rsidR="00723630">
      <w:rPr>
        <w:bCs/>
        <w:i/>
        <w:iCs/>
        <w:sz w:val="16"/>
        <w:szCs w:val="16"/>
        <w:lang w:val="it-IT"/>
      </w:rPr>
      <w:t>11</w:t>
    </w:r>
    <w:r>
      <w:rPr>
        <w:bCs/>
        <w:iCs/>
        <w:sz w:val="16"/>
        <w:szCs w:val="16"/>
        <w:lang w:val="it-IT"/>
      </w:rPr>
      <w:t>, x. https://doi.org/10.3390/xxxxx</w:t>
    </w:r>
    <w:r>
      <w:rPr>
        <w:sz w:val="16"/>
        <w:szCs w:val="16"/>
        <w:lang w:val="fr-CH"/>
      </w:rPr>
      <w:tab/>
      <w:t>www.mdpi.com/journal/</w:t>
    </w:r>
    <w:r>
      <w:rPr>
        <w:sz w:val="16"/>
        <w:szCs w:val="16"/>
        <w:lang w:val="it-IT"/>
      </w:rPr>
      <w:t>jof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0CC3D" w14:textId="77777777" w:rsidR="00A169B5" w:rsidRDefault="00A169B5">
    <w:pPr>
      <w:pStyle w:val="ab"/>
      <w:spacing w:line="240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FF75" w14:textId="77777777" w:rsidR="00A169B5" w:rsidRDefault="00A169B5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  <w:lang w:val="it-IT"/>
      </w:rPr>
    </w:pPr>
  </w:p>
  <w:p w14:paraId="6A2F068A" w14:textId="77777777" w:rsidR="00A169B5" w:rsidRDefault="00000000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>
      <w:rPr>
        <w:i/>
        <w:sz w:val="16"/>
        <w:szCs w:val="16"/>
        <w:lang w:val="it-IT"/>
      </w:rPr>
      <w:t xml:space="preserve">J. Fungi </w:t>
    </w:r>
    <w:r>
      <w:rPr>
        <w:b/>
        <w:bCs/>
        <w:iCs/>
        <w:sz w:val="16"/>
        <w:szCs w:val="16"/>
        <w:lang w:val="it-IT"/>
      </w:rPr>
      <w:t>2023</w:t>
    </w:r>
    <w:r>
      <w:rPr>
        <w:bCs/>
        <w:iCs/>
        <w:sz w:val="16"/>
        <w:szCs w:val="16"/>
        <w:lang w:val="it-IT"/>
      </w:rPr>
      <w:t>,</w:t>
    </w:r>
    <w:r>
      <w:rPr>
        <w:bCs/>
        <w:i/>
        <w:iCs/>
        <w:sz w:val="16"/>
        <w:szCs w:val="16"/>
        <w:lang w:val="it-IT"/>
      </w:rPr>
      <w:t xml:space="preserve"> 9</w:t>
    </w:r>
    <w:r>
      <w:rPr>
        <w:bCs/>
        <w:iCs/>
        <w:sz w:val="16"/>
        <w:szCs w:val="16"/>
        <w:lang w:val="it-IT"/>
      </w:rPr>
      <w:t>, x. https://doi.org/10.3390/xxxxx</w:t>
    </w:r>
    <w:r>
      <w:rPr>
        <w:sz w:val="16"/>
        <w:szCs w:val="16"/>
        <w:lang w:val="fr-CH"/>
      </w:rPr>
      <w:tab/>
      <w:t>www.mdpi.com/journal/</w:t>
    </w:r>
    <w:r>
      <w:rPr>
        <w:sz w:val="16"/>
        <w:szCs w:val="16"/>
        <w:lang w:val="it-IT"/>
      </w:rPr>
      <w:t>jof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3C5BE" w14:textId="77777777" w:rsidR="008910BB" w:rsidRDefault="008910BB">
      <w:pPr>
        <w:spacing w:line="240" w:lineRule="auto"/>
      </w:pPr>
      <w:r>
        <w:separator/>
      </w:r>
    </w:p>
  </w:footnote>
  <w:footnote w:type="continuationSeparator" w:id="0">
    <w:p w14:paraId="5486D9E9" w14:textId="77777777" w:rsidR="008910BB" w:rsidRDefault="008910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0E3A" w14:textId="77777777" w:rsidR="00A169B5" w:rsidRDefault="00A169B5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EABE" w14:textId="0476B6E1" w:rsidR="00A169B5" w:rsidRDefault="00000000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J. Fungi </w:t>
    </w:r>
    <w:r>
      <w:rPr>
        <w:b/>
        <w:sz w:val="16"/>
      </w:rPr>
      <w:t>2023</w:t>
    </w:r>
    <w:r>
      <w:rPr>
        <w:sz w:val="16"/>
      </w:rPr>
      <w:t>,</w:t>
    </w:r>
    <w:r>
      <w:rPr>
        <w:i/>
        <w:sz w:val="16"/>
      </w:rPr>
      <w:t xml:space="preserve"> </w:t>
    </w:r>
    <w:r w:rsidR="00FB0DA1">
      <w:rPr>
        <w:i/>
        <w:sz w:val="16"/>
      </w:rPr>
      <w:t>11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14:paraId="712A6A11" w14:textId="77777777" w:rsidR="00A169B5" w:rsidRDefault="00A169B5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A169B5" w14:paraId="3A0BA0BA" w14:textId="7777777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103D185F" w14:textId="77777777" w:rsidR="00A169B5" w:rsidRDefault="00000000">
          <w:pPr>
            <w:pStyle w:val="ad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076C9466" wp14:editId="6B85BD88">
                <wp:extent cx="1156970" cy="429260"/>
                <wp:effectExtent l="0" t="0" r="0" b="0"/>
                <wp:docPr id="1720086743" name="图片 1720086743" descr="C:\Users\home\AppData\Local\Temp\HZ$D.661.3551\jof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 descr="C:\Users\home\AppData\Local\Temp\HZ$D.661.3551\jof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697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2DCB0C2" w14:textId="77777777" w:rsidR="00A169B5" w:rsidRDefault="00A169B5">
          <w:pPr>
            <w:pStyle w:val="ad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775B774" w14:textId="77777777" w:rsidR="00A169B5" w:rsidRDefault="00000000">
          <w:pPr>
            <w:pStyle w:val="ad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04C4F841" wp14:editId="13749408">
                <wp:extent cx="539750" cy="359410"/>
                <wp:effectExtent l="0" t="0" r="0" b="2540"/>
                <wp:docPr id="1640013118" name="图片 16400131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B21D343" w14:textId="77777777" w:rsidR="00A169B5" w:rsidRDefault="00A169B5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E8F6" w14:textId="77777777" w:rsidR="00A169B5" w:rsidRDefault="00000000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J. Fungi </w:t>
    </w:r>
    <w:r>
      <w:rPr>
        <w:b/>
        <w:sz w:val="16"/>
      </w:rPr>
      <w:t>2023</w:t>
    </w:r>
    <w:r>
      <w:rPr>
        <w:sz w:val="16"/>
      </w:rPr>
      <w:t>,</w:t>
    </w:r>
    <w:r>
      <w:rPr>
        <w:i/>
        <w:sz w:val="16"/>
      </w:rPr>
      <w:t xml:space="preserve"> 9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14:paraId="55B0E6B4" w14:textId="77777777" w:rsidR="00A169B5" w:rsidRDefault="00A169B5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A169B5" w14:paraId="36B095E6" w14:textId="7777777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4E2FE24E" w14:textId="77777777" w:rsidR="00A169B5" w:rsidRDefault="00000000">
          <w:pPr>
            <w:pStyle w:val="ad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7A5FB624" wp14:editId="44DB8EF8">
                <wp:extent cx="1156970" cy="429260"/>
                <wp:effectExtent l="0" t="0" r="11430" b="2540"/>
                <wp:docPr id="2" name="Picture 3" descr="C:\Users\home\AppData\Local\Temp\HZ$D.661.3551\jof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3" descr="C:\Users\home\AppData\Local\Temp\HZ$D.661.3551\jof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697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E09AEAB" w14:textId="77777777" w:rsidR="00A169B5" w:rsidRDefault="00A169B5">
          <w:pPr>
            <w:pStyle w:val="ad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747E91E9" w14:textId="77777777" w:rsidR="00A169B5" w:rsidRDefault="00000000">
          <w:pPr>
            <w:pStyle w:val="ad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36089EBB" wp14:editId="03BE2F39">
                <wp:extent cx="539750" cy="359410"/>
                <wp:effectExtent l="0" t="0" r="19050" b="21590"/>
                <wp:docPr id="3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F7374F1" w14:textId="77777777" w:rsidR="00A169B5" w:rsidRDefault="00A169B5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multilevel"/>
    <w:tmpl w:val="18B468F5"/>
    <w:lvl w:ilvl="0">
      <w:start w:val="1"/>
      <w:numFmt w:val="bullet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13123"/>
    <w:multiLevelType w:val="multilevel"/>
    <w:tmpl w:val="21113123"/>
    <w:lvl w:ilvl="0">
      <w:start w:val="1"/>
      <w:numFmt w:val="decimal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616F3"/>
    <w:multiLevelType w:val="multilevel"/>
    <w:tmpl w:val="3C9616F3"/>
    <w:lvl w:ilvl="0">
      <w:start w:val="1"/>
      <w:numFmt w:val="decimal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73D00"/>
    <w:multiLevelType w:val="multilevel"/>
    <w:tmpl w:val="58B73D00"/>
    <w:lvl w:ilvl="0">
      <w:start w:val="1"/>
      <w:numFmt w:val="decimal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4048" w:hanging="360"/>
      </w:pPr>
    </w:lvl>
    <w:lvl w:ilvl="2">
      <w:start w:val="1"/>
      <w:numFmt w:val="lowerRoman"/>
      <w:lvlText w:val="%3."/>
      <w:lvlJc w:val="right"/>
      <w:pPr>
        <w:ind w:left="4768" w:hanging="180"/>
      </w:pPr>
    </w:lvl>
    <w:lvl w:ilvl="3">
      <w:start w:val="1"/>
      <w:numFmt w:val="decimal"/>
      <w:lvlText w:val="%4."/>
      <w:lvlJc w:val="left"/>
      <w:pPr>
        <w:ind w:left="5488" w:hanging="360"/>
      </w:pPr>
    </w:lvl>
    <w:lvl w:ilvl="4">
      <w:start w:val="1"/>
      <w:numFmt w:val="lowerLetter"/>
      <w:lvlText w:val="%5."/>
      <w:lvlJc w:val="left"/>
      <w:pPr>
        <w:ind w:left="6208" w:hanging="360"/>
      </w:pPr>
    </w:lvl>
    <w:lvl w:ilvl="5">
      <w:start w:val="1"/>
      <w:numFmt w:val="lowerRoman"/>
      <w:lvlText w:val="%6."/>
      <w:lvlJc w:val="right"/>
      <w:pPr>
        <w:ind w:left="6928" w:hanging="180"/>
      </w:pPr>
    </w:lvl>
    <w:lvl w:ilvl="6">
      <w:start w:val="1"/>
      <w:numFmt w:val="decimal"/>
      <w:lvlText w:val="%7."/>
      <w:lvlJc w:val="left"/>
      <w:pPr>
        <w:ind w:left="7648" w:hanging="360"/>
      </w:pPr>
    </w:lvl>
    <w:lvl w:ilvl="7">
      <w:start w:val="1"/>
      <w:numFmt w:val="lowerLetter"/>
      <w:lvlText w:val="%8."/>
      <w:lvlJc w:val="left"/>
      <w:pPr>
        <w:ind w:left="8368" w:hanging="360"/>
      </w:pPr>
    </w:lvl>
    <w:lvl w:ilvl="8">
      <w:start w:val="1"/>
      <w:numFmt w:val="lowerRoman"/>
      <w:lvlText w:val="%9."/>
      <w:lvlJc w:val="right"/>
      <w:pPr>
        <w:ind w:left="9088" w:hanging="180"/>
      </w:pPr>
    </w:lvl>
  </w:abstractNum>
  <w:num w:numId="1" w16cid:durableId="1350109360">
    <w:abstractNumId w:val="3"/>
  </w:num>
  <w:num w:numId="2" w16cid:durableId="2077318748">
    <w:abstractNumId w:val="0"/>
  </w:num>
  <w:num w:numId="3" w16cid:durableId="728117402">
    <w:abstractNumId w:val="2"/>
  </w:num>
  <w:num w:numId="4" w16cid:durableId="519049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10"/>
  <w:autoHyphenation/>
  <w:drawingGridHorizontalSpacing w:val="100"/>
  <w:drawingGridVerticalSpacing w:val="163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15"/>
    <w:rsid w:val="0001218A"/>
    <w:rsid w:val="0001274B"/>
    <w:rsid w:val="00016829"/>
    <w:rsid w:val="00017C28"/>
    <w:rsid w:val="00031FDC"/>
    <w:rsid w:val="00061A2F"/>
    <w:rsid w:val="000625D4"/>
    <w:rsid w:val="00070871"/>
    <w:rsid w:val="00070A79"/>
    <w:rsid w:val="00082508"/>
    <w:rsid w:val="00094CCA"/>
    <w:rsid w:val="000A07EA"/>
    <w:rsid w:val="000A4002"/>
    <w:rsid w:val="000B4B75"/>
    <w:rsid w:val="000C6D15"/>
    <w:rsid w:val="000D4838"/>
    <w:rsid w:val="000F1E23"/>
    <w:rsid w:val="000F7EFB"/>
    <w:rsid w:val="0011000A"/>
    <w:rsid w:val="00112537"/>
    <w:rsid w:val="00115103"/>
    <w:rsid w:val="00133C79"/>
    <w:rsid w:val="001C276D"/>
    <w:rsid w:val="001D16DD"/>
    <w:rsid w:val="001E2AEB"/>
    <w:rsid w:val="0021761B"/>
    <w:rsid w:val="00222EC6"/>
    <w:rsid w:val="00244A1C"/>
    <w:rsid w:val="00260117"/>
    <w:rsid w:val="0026338A"/>
    <w:rsid w:val="00264842"/>
    <w:rsid w:val="00280F4E"/>
    <w:rsid w:val="00283D98"/>
    <w:rsid w:val="002A3574"/>
    <w:rsid w:val="002B24EC"/>
    <w:rsid w:val="002E02C8"/>
    <w:rsid w:val="002E389C"/>
    <w:rsid w:val="002E7ED2"/>
    <w:rsid w:val="002F0633"/>
    <w:rsid w:val="00314A54"/>
    <w:rsid w:val="003174AC"/>
    <w:rsid w:val="00320B96"/>
    <w:rsid w:val="00326141"/>
    <w:rsid w:val="0035758E"/>
    <w:rsid w:val="00363548"/>
    <w:rsid w:val="00374744"/>
    <w:rsid w:val="00376A11"/>
    <w:rsid w:val="00381364"/>
    <w:rsid w:val="003828BF"/>
    <w:rsid w:val="003932C7"/>
    <w:rsid w:val="003A392B"/>
    <w:rsid w:val="003C69C6"/>
    <w:rsid w:val="003D6750"/>
    <w:rsid w:val="00401D30"/>
    <w:rsid w:val="00404844"/>
    <w:rsid w:val="004050D7"/>
    <w:rsid w:val="00415F38"/>
    <w:rsid w:val="00435B93"/>
    <w:rsid w:val="00451FC4"/>
    <w:rsid w:val="004550E7"/>
    <w:rsid w:val="004564B3"/>
    <w:rsid w:val="00462BCE"/>
    <w:rsid w:val="0046590B"/>
    <w:rsid w:val="00467F0A"/>
    <w:rsid w:val="00481B23"/>
    <w:rsid w:val="004A1F4F"/>
    <w:rsid w:val="004C7791"/>
    <w:rsid w:val="004D1DDC"/>
    <w:rsid w:val="004D6F77"/>
    <w:rsid w:val="004E2A54"/>
    <w:rsid w:val="004E5855"/>
    <w:rsid w:val="004F1319"/>
    <w:rsid w:val="004F4F0B"/>
    <w:rsid w:val="005225B6"/>
    <w:rsid w:val="005228C6"/>
    <w:rsid w:val="0052293D"/>
    <w:rsid w:val="005341B5"/>
    <w:rsid w:val="0053506D"/>
    <w:rsid w:val="00536ECE"/>
    <w:rsid w:val="0053797A"/>
    <w:rsid w:val="005412C8"/>
    <w:rsid w:val="0054138E"/>
    <w:rsid w:val="00561A16"/>
    <w:rsid w:val="00563A1F"/>
    <w:rsid w:val="005819C0"/>
    <w:rsid w:val="005841CC"/>
    <w:rsid w:val="00585ED6"/>
    <w:rsid w:val="005A4FF1"/>
    <w:rsid w:val="005C0093"/>
    <w:rsid w:val="005C454C"/>
    <w:rsid w:val="005D6928"/>
    <w:rsid w:val="005E1B1C"/>
    <w:rsid w:val="005F65FD"/>
    <w:rsid w:val="006052E4"/>
    <w:rsid w:val="006130D6"/>
    <w:rsid w:val="00615A06"/>
    <w:rsid w:val="00637807"/>
    <w:rsid w:val="006378C5"/>
    <w:rsid w:val="00642AD1"/>
    <w:rsid w:val="00692393"/>
    <w:rsid w:val="00695008"/>
    <w:rsid w:val="006C09DD"/>
    <w:rsid w:val="006D7035"/>
    <w:rsid w:val="006D7D95"/>
    <w:rsid w:val="006F2230"/>
    <w:rsid w:val="007122BA"/>
    <w:rsid w:val="0071380F"/>
    <w:rsid w:val="00714FFC"/>
    <w:rsid w:val="00723630"/>
    <w:rsid w:val="00755A2A"/>
    <w:rsid w:val="00757D0C"/>
    <w:rsid w:val="007716D1"/>
    <w:rsid w:val="00775DA5"/>
    <w:rsid w:val="0078635F"/>
    <w:rsid w:val="00793178"/>
    <w:rsid w:val="007B3474"/>
    <w:rsid w:val="00801959"/>
    <w:rsid w:val="00805E90"/>
    <w:rsid w:val="0080636C"/>
    <w:rsid w:val="00840540"/>
    <w:rsid w:val="00856487"/>
    <w:rsid w:val="00860E35"/>
    <w:rsid w:val="008765C7"/>
    <w:rsid w:val="008841C5"/>
    <w:rsid w:val="008910BB"/>
    <w:rsid w:val="00893D52"/>
    <w:rsid w:val="008A1CB6"/>
    <w:rsid w:val="008D5BDE"/>
    <w:rsid w:val="008E01B6"/>
    <w:rsid w:val="008E2AA8"/>
    <w:rsid w:val="008F687A"/>
    <w:rsid w:val="00903AAA"/>
    <w:rsid w:val="0091033D"/>
    <w:rsid w:val="009238E2"/>
    <w:rsid w:val="00927E51"/>
    <w:rsid w:val="009559CB"/>
    <w:rsid w:val="0095642E"/>
    <w:rsid w:val="00970088"/>
    <w:rsid w:val="0098748A"/>
    <w:rsid w:val="009900C1"/>
    <w:rsid w:val="00992618"/>
    <w:rsid w:val="00994673"/>
    <w:rsid w:val="00996CC4"/>
    <w:rsid w:val="009B3EE0"/>
    <w:rsid w:val="009E2A9C"/>
    <w:rsid w:val="009E4892"/>
    <w:rsid w:val="009F5229"/>
    <w:rsid w:val="009F70E6"/>
    <w:rsid w:val="00A169B5"/>
    <w:rsid w:val="00A30FEA"/>
    <w:rsid w:val="00A444F4"/>
    <w:rsid w:val="00A529EE"/>
    <w:rsid w:val="00A57EE8"/>
    <w:rsid w:val="00A67A21"/>
    <w:rsid w:val="00A920FE"/>
    <w:rsid w:val="00A96D61"/>
    <w:rsid w:val="00AA048A"/>
    <w:rsid w:val="00AD6954"/>
    <w:rsid w:val="00AF105C"/>
    <w:rsid w:val="00B056AB"/>
    <w:rsid w:val="00B05A2D"/>
    <w:rsid w:val="00B07A59"/>
    <w:rsid w:val="00B1153D"/>
    <w:rsid w:val="00B41ED3"/>
    <w:rsid w:val="00B50D8A"/>
    <w:rsid w:val="00B647A3"/>
    <w:rsid w:val="00B715D5"/>
    <w:rsid w:val="00B85268"/>
    <w:rsid w:val="00B93137"/>
    <w:rsid w:val="00B979EE"/>
    <w:rsid w:val="00BC5F3A"/>
    <w:rsid w:val="00BF4467"/>
    <w:rsid w:val="00C026B6"/>
    <w:rsid w:val="00C05125"/>
    <w:rsid w:val="00C2397A"/>
    <w:rsid w:val="00C34A11"/>
    <w:rsid w:val="00C50FB3"/>
    <w:rsid w:val="00C55F02"/>
    <w:rsid w:val="00C5722C"/>
    <w:rsid w:val="00C6154D"/>
    <w:rsid w:val="00C82EC4"/>
    <w:rsid w:val="00C939D0"/>
    <w:rsid w:val="00CA1AD2"/>
    <w:rsid w:val="00CB6CBA"/>
    <w:rsid w:val="00CB70A3"/>
    <w:rsid w:val="00CC0F0D"/>
    <w:rsid w:val="00CD1874"/>
    <w:rsid w:val="00CD3ABB"/>
    <w:rsid w:val="00CF3F44"/>
    <w:rsid w:val="00D14FCF"/>
    <w:rsid w:val="00D165AC"/>
    <w:rsid w:val="00D61459"/>
    <w:rsid w:val="00D77153"/>
    <w:rsid w:val="00DD6792"/>
    <w:rsid w:val="00DD79D8"/>
    <w:rsid w:val="00DE321B"/>
    <w:rsid w:val="00DF102F"/>
    <w:rsid w:val="00DF4F0C"/>
    <w:rsid w:val="00E36E82"/>
    <w:rsid w:val="00E53437"/>
    <w:rsid w:val="00E63428"/>
    <w:rsid w:val="00E82FBE"/>
    <w:rsid w:val="00EB1C2F"/>
    <w:rsid w:val="00EB37A8"/>
    <w:rsid w:val="00EB47AC"/>
    <w:rsid w:val="00EC0ED1"/>
    <w:rsid w:val="00ED2031"/>
    <w:rsid w:val="00ED2B66"/>
    <w:rsid w:val="00F0704D"/>
    <w:rsid w:val="00F13DC6"/>
    <w:rsid w:val="00F21BDA"/>
    <w:rsid w:val="00F4573B"/>
    <w:rsid w:val="00F46BA1"/>
    <w:rsid w:val="00F52CF7"/>
    <w:rsid w:val="00F64361"/>
    <w:rsid w:val="00FB0DA1"/>
    <w:rsid w:val="00FC100C"/>
    <w:rsid w:val="00FC3C92"/>
    <w:rsid w:val="00FD3A68"/>
    <w:rsid w:val="00FE22CA"/>
    <w:rsid w:val="5ED7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AC0240"/>
  <w15:docId w15:val="{4E64313E-91F5-C34A-8D25-835AF2EF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page number" w:uiPriority="0"/>
    <w:lsdException w:name="endnote reference" w:uiPriority="0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</w:style>
  <w:style w:type="paragraph" w:styleId="a5">
    <w:name w:val="Body Text"/>
    <w:link w:val="a6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paragraph" w:styleId="a7">
    <w:name w:val="endnote text"/>
    <w:basedOn w:val="a"/>
    <w:link w:val="a8"/>
    <w:semiHidden/>
    <w:unhideWhenUsed/>
    <w:pPr>
      <w:spacing w:line="240" w:lineRule="auto"/>
    </w:pPr>
  </w:style>
  <w:style w:type="paragraph" w:styleId="a9">
    <w:name w:val="Balloon Text"/>
    <w:basedOn w:val="a"/>
    <w:link w:val="aa"/>
    <w:uiPriority w:val="99"/>
    <w:rPr>
      <w:rFonts w:cs="Tahoma"/>
      <w:szCs w:val="18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paragraph" w:styleId="ad">
    <w:name w:val="header"/>
    <w:basedOn w:val="a"/>
    <w:link w:val="ae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paragraph" w:styleId="af">
    <w:name w:val="footnote text"/>
    <w:basedOn w:val="a"/>
    <w:link w:val="af0"/>
    <w:semiHidden/>
    <w:unhideWhenUsed/>
    <w:pPr>
      <w:spacing w:line="240" w:lineRule="auto"/>
    </w:pPr>
  </w:style>
  <w:style w:type="paragraph" w:styleId="af1">
    <w:name w:val="Normal (Web)"/>
    <w:basedOn w:val="a"/>
    <w:uiPriority w:val="99"/>
    <w:rPr>
      <w:szCs w:val="24"/>
    </w:rPr>
  </w:style>
  <w:style w:type="paragraph" w:styleId="af2">
    <w:name w:val="annotation subject"/>
    <w:basedOn w:val="a3"/>
    <w:next w:val="a3"/>
    <w:link w:val="af3"/>
    <w:rPr>
      <w:b/>
      <w:bCs/>
    </w:rPr>
  </w:style>
  <w:style w:type="table" w:styleId="af4">
    <w:name w:val="Table Grid"/>
    <w:basedOn w:val="a1"/>
    <w:uiPriority w:val="5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ndnote reference"/>
    <w:rPr>
      <w:vertAlign w:val="superscript"/>
    </w:rPr>
  </w:style>
  <w:style w:type="character" w:styleId="af6">
    <w:name w:val="page number"/>
  </w:style>
  <w:style w:type="character" w:styleId="af7">
    <w:name w:val="FollowedHyperlink"/>
    <w:rPr>
      <w:color w:val="954F72"/>
      <w:u w:val="single"/>
    </w:rPr>
  </w:style>
  <w:style w:type="character" w:styleId="af8">
    <w:name w:val="line number"/>
    <w:uiPriority w:val="99"/>
    <w:rPr>
      <w:rFonts w:ascii="Palatino Linotype" w:hAnsi="Palatino Linotype"/>
      <w:sz w:val="16"/>
    </w:rPr>
  </w:style>
  <w:style w:type="character" w:styleId="af9">
    <w:name w:val="Hyperlink"/>
    <w:uiPriority w:val="99"/>
    <w:rPr>
      <w:color w:val="0000FF"/>
      <w:u w:val="single"/>
    </w:rPr>
  </w:style>
  <w:style w:type="character" w:styleId="afa">
    <w:name w:val="annotation reference"/>
    <w:rPr>
      <w:sz w:val="21"/>
      <w:szCs w:val="21"/>
    </w:rPr>
  </w:style>
  <w:style w:type="paragraph" w:customStyle="1" w:styleId="MDPI11articletype">
    <w:name w:val="MDPI_1.1_article_type"/>
    <w:next w:val="a"/>
    <w:qFormat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a"/>
    <w:qFormat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a"/>
    <w:qFormat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a"/>
    <w:qFormat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ac">
    <w:name w:val="页脚 字符"/>
    <w:link w:val="ab"/>
    <w:uiPriority w:val="99"/>
    <w:rPr>
      <w:rFonts w:ascii="Palatino Linotype" w:hAnsi="Palatino Linotype"/>
      <w:color w:val="000000"/>
      <w:szCs w:val="18"/>
    </w:rPr>
  </w:style>
  <w:style w:type="character" w:customStyle="1" w:styleId="ae">
    <w:name w:val="页眉 字符"/>
    <w:link w:val="ad"/>
    <w:uiPriority w:val="99"/>
    <w:rPr>
      <w:rFonts w:ascii="Palatino Linotype" w:hAnsi="Palatino Linotype"/>
      <w:color w:val="000000"/>
      <w:szCs w:val="18"/>
    </w:rPr>
  </w:style>
  <w:style w:type="paragraph" w:customStyle="1" w:styleId="MDPIheaderjournallogo">
    <w:name w:val="MDPI_header_journal_logo"/>
    <w:qFormat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pPr>
      <w:ind w:firstLine="0"/>
    </w:pPr>
  </w:style>
  <w:style w:type="paragraph" w:customStyle="1" w:styleId="MDPI31text">
    <w:name w:val="MDPI_3.1_text"/>
    <w:qFormat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pPr>
      <w:numPr>
        <w:numId w:val="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customStyle="1" w:styleId="aa">
    <w:name w:val="批注框文本 字符"/>
    <w:link w:val="a9"/>
    <w:uiPriority w:val="99"/>
    <w:rPr>
      <w:rFonts w:ascii="Palatino Linotype" w:hAnsi="Palatino Linotype" w:cs="Tahoma"/>
      <w:color w:val="000000"/>
      <w:szCs w:val="18"/>
    </w:rPr>
  </w:style>
  <w:style w:type="table" w:customStyle="1" w:styleId="MDPI41threelinetable">
    <w:name w:val="MDPI_4.1_three_line_table"/>
    <w:basedOn w:val="a1"/>
    <w:uiPriority w:val="9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1">
    <w:name w:val="未处理的提及1"/>
    <w:uiPriority w:val="99"/>
    <w:semiHidden/>
    <w:unhideWhenUsed/>
    <w:rPr>
      <w:color w:val="605E5C"/>
      <w:shd w:val="clear" w:color="auto" w:fill="E1DFDD"/>
    </w:rPr>
  </w:style>
  <w:style w:type="table" w:customStyle="1" w:styleId="41">
    <w:name w:val="无格式表格 41"/>
    <w:basedOn w:val="a1"/>
    <w:uiPriority w:val="44"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color w:val="000000"/>
      <w:sz w:val="18"/>
      <w:lang w:bidi="en-US"/>
    </w:rPr>
  </w:style>
  <w:style w:type="paragraph" w:customStyle="1" w:styleId="MDPI72Copyright">
    <w:name w:val="MDPI_7.2_Copyright"/>
    <w:qFormat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a1"/>
    <w:uiPriority w:val="99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pPr>
      <w:spacing w:line="260" w:lineRule="atLeast"/>
      <w:ind w:left="425" w:right="425" w:firstLine="284"/>
      <w:jc w:val="both"/>
    </w:pPr>
    <w:rPr>
      <w:rFonts w:eastAsia="Times New Roman"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</w:style>
  <w:style w:type="paragraph" w:customStyle="1" w:styleId="10">
    <w:name w:val="书目1"/>
    <w:basedOn w:val="a"/>
    <w:next w:val="a"/>
    <w:uiPriority w:val="37"/>
    <w:semiHidden/>
    <w:unhideWhenUsed/>
  </w:style>
  <w:style w:type="character" w:customStyle="1" w:styleId="a6">
    <w:name w:val="正文文本 字符"/>
    <w:link w:val="a5"/>
    <w:rPr>
      <w:rFonts w:ascii="Palatino Linotype" w:hAnsi="Palatino Linotype"/>
      <w:color w:val="000000"/>
      <w:sz w:val="24"/>
      <w:lang w:eastAsia="de-DE"/>
    </w:rPr>
  </w:style>
  <w:style w:type="character" w:customStyle="1" w:styleId="a4">
    <w:name w:val="批注文字 字符"/>
    <w:link w:val="a3"/>
    <w:rPr>
      <w:rFonts w:ascii="Palatino Linotype" w:hAnsi="Palatino Linotype"/>
      <w:color w:val="000000"/>
    </w:rPr>
  </w:style>
  <w:style w:type="character" w:customStyle="1" w:styleId="af3">
    <w:name w:val="批注主题 字符"/>
    <w:link w:val="af2"/>
    <w:rPr>
      <w:rFonts w:ascii="Palatino Linotype" w:hAnsi="Palatino Linotype"/>
      <w:b/>
      <w:bCs/>
      <w:color w:val="000000"/>
    </w:rPr>
  </w:style>
  <w:style w:type="character" w:customStyle="1" w:styleId="a8">
    <w:name w:val="尾注文本 字符"/>
    <w:link w:val="a7"/>
    <w:semiHidden/>
    <w:rPr>
      <w:rFonts w:ascii="Palatino Linotype" w:hAnsi="Palatino Linotype"/>
      <w:color w:val="000000"/>
    </w:rPr>
  </w:style>
  <w:style w:type="character" w:customStyle="1" w:styleId="af0">
    <w:name w:val="脚注文本 字符"/>
    <w:link w:val="af"/>
    <w:semiHidden/>
    <w:rPr>
      <w:rFonts w:ascii="Palatino Linotype" w:hAnsi="Palatino Linotype"/>
      <w:color w:val="000000"/>
    </w:rPr>
  </w:style>
  <w:style w:type="paragraph" w:customStyle="1" w:styleId="MsoFootnoteText0">
    <w:name w:val="MsoFootnoteText"/>
    <w:basedOn w:val="af1"/>
    <w:qFormat/>
    <w:rPr>
      <w:rFonts w:ascii="Times New Roman" w:hAnsi="Times New Roman"/>
    </w:rPr>
  </w:style>
  <w:style w:type="character" w:styleId="afb">
    <w:name w:val="Placeholder Text"/>
    <w:uiPriority w:val="99"/>
    <w:semiHidden/>
    <w:rPr>
      <w:color w:val="808080"/>
    </w:rPr>
  </w:style>
  <w:style w:type="paragraph" w:customStyle="1" w:styleId="MDPI71FootNotes">
    <w:name w:val="MDPI_7.1_FootNotes"/>
    <w:qFormat/>
    <w:pPr>
      <w:numPr>
        <w:numId w:val="4"/>
      </w:numPr>
      <w:adjustRightInd w:val="0"/>
      <w:snapToGrid w:val="0"/>
      <w:spacing w:line="228" w:lineRule="auto"/>
    </w:pPr>
    <w:rPr>
      <w:rFonts w:ascii="Palatino Linotype" w:eastAsiaTheme="minorEastAsia" w:hAnsi="Palatino Linotype"/>
      <w:color w:val="000000"/>
      <w:sz w:val="18"/>
    </w:rPr>
  </w:style>
  <w:style w:type="paragraph" w:customStyle="1" w:styleId="p1">
    <w:name w:val="p1"/>
    <w:basedOn w:val="a"/>
    <w:pPr>
      <w:jc w:val="left"/>
    </w:pPr>
    <w:rPr>
      <w:rFonts w:ascii="Helvetica" w:eastAsia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649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Microsoft Office User</dc:creator>
  <cp:lastModifiedBy>km w</cp:lastModifiedBy>
  <cp:revision>3</cp:revision>
  <dcterms:created xsi:type="dcterms:W3CDTF">2023-11-16T11:15:00Z</dcterms:created>
  <dcterms:modified xsi:type="dcterms:W3CDTF">2023-11-16T12:02:00Z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4D7F949F7819BDB97B2101655B96689B_42</vt:lpwstr>
  </property>
</Properties>
</file>